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0D6E" w14:textId="76031626" w:rsidR="00DD2881" w:rsidRPr="00334F9E" w:rsidRDefault="009639B8" w:rsidP="0004747A">
      <w:pPr>
        <w:jc w:val="center"/>
        <w:outlineLvl w:val="0"/>
        <w:rPr>
          <w:rFonts w:ascii="Arial" w:hAnsi="Arial" w:cs="Arial"/>
          <w:b/>
          <w:kern w:val="28"/>
        </w:rPr>
      </w:pPr>
      <w:r w:rsidRPr="00334F9E">
        <w:rPr>
          <w:rFonts w:ascii="Arial" w:hAnsi="Arial" w:cs="Arial"/>
          <w:b/>
          <w:kern w:val="28"/>
        </w:rPr>
        <w:t xml:space="preserve">Recommended Amendments to the </w:t>
      </w:r>
      <w:r w:rsidRPr="00334F9E">
        <w:rPr>
          <w:rFonts w:ascii="Arial" w:hAnsi="Arial" w:cs="Arial"/>
          <w:b/>
          <w:kern w:val="28"/>
        </w:rPr>
        <w:br/>
      </w:r>
      <w:r w:rsidR="00E9577B" w:rsidRPr="00334F9E">
        <w:rPr>
          <w:rFonts w:ascii="Arial" w:hAnsi="Arial" w:cs="Arial"/>
          <w:b/>
          <w:kern w:val="28"/>
        </w:rPr>
        <w:t>20</w:t>
      </w:r>
      <w:r w:rsidR="00BA3778" w:rsidRPr="00334F9E">
        <w:rPr>
          <w:rFonts w:ascii="Arial" w:hAnsi="Arial" w:cs="Arial"/>
          <w:b/>
          <w:kern w:val="28"/>
        </w:rPr>
        <w:t>2</w:t>
      </w:r>
      <w:r w:rsidR="0002181B" w:rsidRPr="00334F9E">
        <w:rPr>
          <w:rFonts w:ascii="Arial" w:hAnsi="Arial" w:cs="Arial"/>
          <w:b/>
          <w:kern w:val="28"/>
        </w:rPr>
        <w:t>4</w:t>
      </w:r>
      <w:r w:rsidR="00BA3778" w:rsidRPr="00334F9E">
        <w:rPr>
          <w:rFonts w:ascii="Arial" w:hAnsi="Arial" w:cs="Arial"/>
          <w:b/>
          <w:kern w:val="28"/>
        </w:rPr>
        <w:t xml:space="preserve"> </w:t>
      </w:r>
      <w:r w:rsidRPr="00334F9E">
        <w:rPr>
          <w:rFonts w:ascii="Arial" w:hAnsi="Arial" w:cs="Arial"/>
          <w:b/>
          <w:kern w:val="28"/>
        </w:rPr>
        <w:t>International Energy Conservation Code</w:t>
      </w:r>
    </w:p>
    <w:p w14:paraId="35492188" w14:textId="77777777" w:rsidR="00DD2881" w:rsidRPr="00334F9E" w:rsidRDefault="00DD2881" w:rsidP="0004747A">
      <w:pPr>
        <w:jc w:val="center"/>
        <w:outlineLvl w:val="0"/>
        <w:rPr>
          <w:rFonts w:ascii="Arial" w:hAnsi="Arial" w:cs="Arial"/>
          <w:b/>
          <w:kern w:val="28"/>
        </w:rPr>
      </w:pPr>
      <w:r w:rsidRPr="00334F9E">
        <w:rPr>
          <w:rFonts w:ascii="Arial" w:hAnsi="Arial" w:cs="Arial"/>
          <w:b/>
          <w:kern w:val="28"/>
        </w:rPr>
        <w:t xml:space="preserve">And the energy provisions of the </w:t>
      </w:r>
    </w:p>
    <w:p w14:paraId="51983FD0" w14:textId="3C6E7ECB" w:rsidR="009639B8" w:rsidRPr="00334F9E" w:rsidRDefault="00DD2881" w:rsidP="0004747A">
      <w:pPr>
        <w:jc w:val="center"/>
        <w:outlineLvl w:val="0"/>
        <w:rPr>
          <w:rFonts w:ascii="Arial" w:hAnsi="Arial" w:cs="Arial"/>
        </w:rPr>
      </w:pPr>
      <w:r w:rsidRPr="00334F9E">
        <w:rPr>
          <w:rFonts w:ascii="Arial" w:hAnsi="Arial" w:cs="Arial"/>
          <w:b/>
          <w:kern w:val="28"/>
        </w:rPr>
        <w:t>20</w:t>
      </w:r>
      <w:r w:rsidR="00BA3778" w:rsidRPr="00334F9E">
        <w:rPr>
          <w:rFonts w:ascii="Arial" w:hAnsi="Arial" w:cs="Arial"/>
          <w:b/>
          <w:kern w:val="28"/>
        </w:rPr>
        <w:t>2</w:t>
      </w:r>
      <w:r w:rsidR="0002181B" w:rsidRPr="00334F9E">
        <w:rPr>
          <w:rFonts w:ascii="Arial" w:hAnsi="Arial" w:cs="Arial"/>
          <w:b/>
          <w:kern w:val="28"/>
        </w:rPr>
        <w:t>4</w:t>
      </w:r>
      <w:r w:rsidRPr="00334F9E">
        <w:rPr>
          <w:rFonts w:ascii="Arial" w:hAnsi="Arial" w:cs="Arial"/>
          <w:b/>
          <w:kern w:val="28"/>
        </w:rPr>
        <w:t xml:space="preserve"> International Residential Code</w:t>
      </w:r>
      <w:r w:rsidR="009639B8" w:rsidRPr="00334F9E">
        <w:rPr>
          <w:rFonts w:ascii="Arial" w:hAnsi="Arial" w:cs="Arial"/>
        </w:rPr>
        <w:br/>
        <w:t xml:space="preserve">North Central Texas Council of Governments </w:t>
      </w:r>
      <w:r w:rsidR="00B62FE8" w:rsidRPr="00334F9E">
        <w:rPr>
          <w:rFonts w:ascii="Arial" w:hAnsi="Arial" w:cs="Arial"/>
        </w:rPr>
        <w:t>R</w:t>
      </w:r>
      <w:r w:rsidR="009639B8" w:rsidRPr="00334F9E">
        <w:rPr>
          <w:rFonts w:ascii="Arial" w:hAnsi="Arial" w:cs="Arial"/>
        </w:rPr>
        <w:t>egion</w:t>
      </w:r>
    </w:p>
    <w:p w14:paraId="58D4ED7F" w14:textId="77777777" w:rsidR="00B62FE8" w:rsidRPr="00334F9E" w:rsidRDefault="00B62FE8" w:rsidP="0004747A">
      <w:pPr>
        <w:jc w:val="center"/>
        <w:outlineLvl w:val="0"/>
        <w:rPr>
          <w:rFonts w:ascii="Arial" w:hAnsi="Arial" w:cs="Arial"/>
        </w:rPr>
      </w:pPr>
      <w:r w:rsidRPr="00334F9E">
        <w:rPr>
          <w:rFonts w:ascii="Arial" w:hAnsi="Arial" w:cs="Arial"/>
        </w:rPr>
        <w:t xml:space="preserve">(Climate Zone </w:t>
      </w:r>
      <w:r w:rsidR="00BA3778" w:rsidRPr="00334F9E">
        <w:rPr>
          <w:rFonts w:ascii="Arial" w:hAnsi="Arial" w:cs="Arial"/>
        </w:rPr>
        <w:t xml:space="preserve">2 &amp; </w:t>
      </w:r>
      <w:r w:rsidRPr="00334F9E">
        <w:rPr>
          <w:rFonts w:ascii="Arial" w:hAnsi="Arial" w:cs="Arial"/>
        </w:rPr>
        <w:t>3 of the IECC)</w:t>
      </w:r>
    </w:p>
    <w:p w14:paraId="7BA8004B" w14:textId="77777777" w:rsidR="00DC04BC" w:rsidRPr="00334F9E" w:rsidRDefault="00DC04BC" w:rsidP="00DC04BC">
      <w:pPr>
        <w:jc w:val="center"/>
        <w:outlineLvl w:val="0"/>
        <w:rPr>
          <w:rFonts w:ascii="Arial" w:hAnsi="Arial" w:cs="Arial"/>
        </w:rPr>
      </w:pPr>
    </w:p>
    <w:p w14:paraId="7720314F" w14:textId="2B42CAE5" w:rsidR="009639B8" w:rsidRPr="00334F9E" w:rsidRDefault="009639B8" w:rsidP="0004747A">
      <w:pPr>
        <w:jc w:val="both"/>
        <w:rPr>
          <w:rFonts w:ascii="Arial" w:hAnsi="Arial" w:cs="Arial"/>
        </w:rPr>
      </w:pPr>
      <w:r w:rsidRPr="00334F9E">
        <w:rPr>
          <w:rFonts w:ascii="Arial" w:hAnsi="Arial" w:cs="Arial"/>
        </w:rPr>
        <w:t xml:space="preserve">The following sections, paragraphs, and sentences of the </w:t>
      </w:r>
      <w:r w:rsidR="00E9577B" w:rsidRPr="00334F9E">
        <w:rPr>
          <w:rFonts w:ascii="Arial" w:hAnsi="Arial" w:cs="Arial"/>
          <w:bCs/>
          <w:i/>
          <w:iCs/>
        </w:rPr>
        <w:t>20</w:t>
      </w:r>
      <w:r w:rsidR="000066E4" w:rsidRPr="00334F9E">
        <w:rPr>
          <w:rFonts w:ascii="Arial" w:hAnsi="Arial" w:cs="Arial"/>
          <w:bCs/>
          <w:i/>
          <w:iCs/>
        </w:rPr>
        <w:t>21</w:t>
      </w:r>
      <w:r w:rsidRPr="00334F9E">
        <w:rPr>
          <w:rFonts w:ascii="Arial" w:hAnsi="Arial" w:cs="Arial"/>
          <w:bCs/>
          <w:i/>
          <w:iCs/>
        </w:rPr>
        <w:t xml:space="preserve"> International Energy Conservation Code</w:t>
      </w:r>
      <w:r w:rsidRPr="00334F9E">
        <w:rPr>
          <w:rFonts w:ascii="Arial" w:hAnsi="Arial" w:cs="Arial"/>
        </w:rPr>
        <w:t xml:space="preserve"> </w:t>
      </w:r>
      <w:r w:rsidR="00B62FE8" w:rsidRPr="00334F9E">
        <w:rPr>
          <w:rFonts w:ascii="Arial" w:hAnsi="Arial" w:cs="Arial"/>
        </w:rPr>
        <w:t xml:space="preserve">(IECC) </w:t>
      </w:r>
      <w:r w:rsidRPr="00334F9E">
        <w:rPr>
          <w:rFonts w:ascii="Arial" w:hAnsi="Arial" w:cs="Arial"/>
        </w:rPr>
        <w:t xml:space="preserve">are hereby amended as follows: Standard type is text from the IECC. </w:t>
      </w:r>
      <w:proofErr w:type="gramStart"/>
      <w:r w:rsidRPr="00334F9E">
        <w:rPr>
          <w:rFonts w:ascii="Arial" w:hAnsi="Arial" w:cs="Arial"/>
          <w:u w:val="single"/>
        </w:rPr>
        <w:t>Underlined</w:t>
      </w:r>
      <w:proofErr w:type="gramEnd"/>
      <w:r w:rsidRPr="00334F9E">
        <w:rPr>
          <w:rFonts w:ascii="Arial" w:hAnsi="Arial" w:cs="Arial"/>
          <w:u w:val="single"/>
        </w:rPr>
        <w:t xml:space="preserve"> type is text inserted. </w:t>
      </w:r>
      <w:r w:rsidRPr="00334F9E">
        <w:rPr>
          <w:rFonts w:ascii="Arial" w:hAnsi="Arial" w:cs="Arial"/>
          <w:strike/>
        </w:rPr>
        <w:t>Lined through type is deleted text from IECC.</w:t>
      </w:r>
      <w:r w:rsidRPr="00334F9E">
        <w:rPr>
          <w:rFonts w:ascii="Arial" w:hAnsi="Arial" w:cs="Arial"/>
        </w:rPr>
        <w:t xml:space="preserve"> A double</w:t>
      </w:r>
      <w:r w:rsidR="00B62FE8" w:rsidRPr="00334F9E">
        <w:rPr>
          <w:rFonts w:ascii="Arial" w:hAnsi="Arial" w:cs="Arial"/>
        </w:rPr>
        <w:t xml:space="preserve"> (</w:t>
      </w:r>
      <w:r w:rsidR="00B62FE8" w:rsidRPr="00334F9E">
        <w:rPr>
          <w:rFonts w:ascii="Arial" w:hAnsi="Arial" w:cs="Arial"/>
          <w:b/>
        </w:rPr>
        <w:t>**</w:t>
      </w:r>
      <w:r w:rsidR="00B62FE8" w:rsidRPr="00334F9E">
        <w:rPr>
          <w:rFonts w:ascii="Arial" w:hAnsi="Arial" w:cs="Arial"/>
        </w:rPr>
        <w:t>)</w:t>
      </w:r>
      <w:r w:rsidRPr="00334F9E">
        <w:rPr>
          <w:rFonts w:ascii="Arial" w:hAnsi="Arial" w:cs="Arial"/>
        </w:rPr>
        <w:t xml:space="preserve"> asterisk at the beginning of a section identifies an amendment carried over from the </w:t>
      </w:r>
      <w:r w:rsidR="0041286E" w:rsidRPr="00334F9E">
        <w:rPr>
          <w:rFonts w:ascii="Arial" w:hAnsi="Arial" w:cs="Arial"/>
        </w:rPr>
        <w:t>20</w:t>
      </w:r>
      <w:r w:rsidR="0002181B" w:rsidRPr="00334F9E">
        <w:rPr>
          <w:rFonts w:ascii="Arial" w:hAnsi="Arial" w:cs="Arial"/>
        </w:rPr>
        <w:t>21</w:t>
      </w:r>
      <w:r w:rsidRPr="00334F9E">
        <w:rPr>
          <w:rFonts w:ascii="Arial" w:hAnsi="Arial" w:cs="Arial"/>
        </w:rPr>
        <w:t xml:space="preserve"> edition of the code and a triple </w:t>
      </w:r>
      <w:r w:rsidR="00B62FE8" w:rsidRPr="00334F9E">
        <w:rPr>
          <w:rFonts w:ascii="Arial" w:hAnsi="Arial" w:cs="Arial"/>
        </w:rPr>
        <w:t xml:space="preserve">(***) </w:t>
      </w:r>
      <w:r w:rsidRPr="00334F9E">
        <w:rPr>
          <w:rFonts w:ascii="Arial" w:hAnsi="Arial" w:cs="Arial"/>
        </w:rPr>
        <w:t xml:space="preserve">asterisk identifies a new or revised amendment with the </w:t>
      </w:r>
      <w:r w:rsidR="00E9577B" w:rsidRPr="00334F9E">
        <w:rPr>
          <w:rFonts w:ascii="Arial" w:hAnsi="Arial" w:cs="Arial"/>
        </w:rPr>
        <w:t>20</w:t>
      </w:r>
      <w:r w:rsidR="000066E4" w:rsidRPr="00334F9E">
        <w:rPr>
          <w:rFonts w:ascii="Arial" w:hAnsi="Arial" w:cs="Arial"/>
        </w:rPr>
        <w:t>2</w:t>
      </w:r>
      <w:r w:rsidR="0002181B" w:rsidRPr="00334F9E">
        <w:rPr>
          <w:rFonts w:ascii="Arial" w:hAnsi="Arial" w:cs="Arial"/>
        </w:rPr>
        <w:t>4</w:t>
      </w:r>
      <w:r w:rsidRPr="00334F9E">
        <w:rPr>
          <w:rFonts w:ascii="Arial" w:hAnsi="Arial" w:cs="Arial"/>
        </w:rPr>
        <w:t xml:space="preserve"> code.</w:t>
      </w:r>
      <w:r w:rsidR="00107955" w:rsidRPr="00334F9E">
        <w:rPr>
          <w:rFonts w:ascii="Arial" w:hAnsi="Arial" w:cs="Arial"/>
        </w:rPr>
        <w:t xml:space="preserve"> </w:t>
      </w:r>
      <w:r w:rsidR="00FB188E" w:rsidRPr="00334F9E">
        <w:rPr>
          <w:rFonts w:ascii="Arial" w:hAnsi="Arial" w:cs="Arial"/>
        </w:rPr>
        <w:t>Section number</w:t>
      </w:r>
      <w:r w:rsidR="004859FF" w:rsidRPr="00334F9E">
        <w:rPr>
          <w:rFonts w:ascii="Arial" w:hAnsi="Arial" w:cs="Arial"/>
        </w:rPr>
        <w:t>s</w:t>
      </w:r>
      <w:r w:rsidR="00FB188E" w:rsidRPr="00334F9E">
        <w:rPr>
          <w:rFonts w:ascii="Arial" w:hAnsi="Arial" w:cs="Arial"/>
        </w:rPr>
        <w:t xml:space="preserve"> in parenthesis represent the corresponding numbers of the energy provisions of the 20</w:t>
      </w:r>
      <w:r w:rsidR="000066E4" w:rsidRPr="00334F9E">
        <w:rPr>
          <w:rFonts w:ascii="Arial" w:hAnsi="Arial" w:cs="Arial"/>
        </w:rPr>
        <w:t>21</w:t>
      </w:r>
      <w:r w:rsidR="00FB188E" w:rsidRPr="00334F9E">
        <w:rPr>
          <w:rFonts w:ascii="Arial" w:hAnsi="Arial" w:cs="Arial"/>
        </w:rPr>
        <w:t xml:space="preserve"> </w:t>
      </w:r>
      <w:r w:rsidR="00AB2A4A" w:rsidRPr="00334F9E">
        <w:rPr>
          <w:rFonts w:ascii="Arial" w:hAnsi="Arial" w:cs="Arial"/>
          <w:i/>
        </w:rPr>
        <w:t>International Residential Code</w:t>
      </w:r>
      <w:r w:rsidR="00AB2A4A" w:rsidRPr="00334F9E">
        <w:rPr>
          <w:rFonts w:ascii="Arial" w:hAnsi="Arial" w:cs="Arial"/>
        </w:rPr>
        <w:t xml:space="preserve"> for </w:t>
      </w:r>
      <w:r w:rsidR="00AB485F" w:rsidRPr="00334F9E">
        <w:rPr>
          <w:rFonts w:ascii="Arial" w:hAnsi="Arial" w:cs="Arial"/>
        </w:rPr>
        <w:t xml:space="preserve">parallel </w:t>
      </w:r>
      <w:r w:rsidR="00AB2A4A" w:rsidRPr="00334F9E">
        <w:rPr>
          <w:rFonts w:ascii="Arial" w:hAnsi="Arial" w:cs="Arial"/>
        </w:rPr>
        <w:t>amendments.</w:t>
      </w:r>
    </w:p>
    <w:p w14:paraId="29108B7A" w14:textId="77777777" w:rsidR="00C4146B" w:rsidRPr="00334F9E" w:rsidRDefault="00C4146B" w:rsidP="0004747A">
      <w:pPr>
        <w:jc w:val="both"/>
        <w:rPr>
          <w:rFonts w:ascii="Arial" w:hAnsi="Arial" w:cs="Arial"/>
        </w:rPr>
      </w:pPr>
      <w:bookmarkStart w:id="0" w:name="_Hlk75775743"/>
    </w:p>
    <w:p w14:paraId="7AC390D2" w14:textId="77777777" w:rsidR="00F61DDA" w:rsidRPr="00334F9E" w:rsidRDefault="00F61DDA" w:rsidP="00F61DDA">
      <w:pPr>
        <w:shd w:val="clear" w:color="auto" w:fill="A0A0A0"/>
        <w:jc w:val="both"/>
        <w:rPr>
          <w:rFonts w:ascii="Arial" w:hAnsi="Arial" w:cs="Arial"/>
          <w:b/>
        </w:rPr>
      </w:pPr>
    </w:p>
    <w:p w14:paraId="3B97CFC3" w14:textId="77777777" w:rsidR="00F61DDA" w:rsidRPr="00334F9E" w:rsidRDefault="00F61DDA" w:rsidP="0004747A">
      <w:pPr>
        <w:jc w:val="both"/>
        <w:rPr>
          <w:rFonts w:ascii="Arial" w:hAnsi="Arial" w:cs="Arial"/>
        </w:rPr>
      </w:pPr>
    </w:p>
    <w:bookmarkEnd w:id="0"/>
    <w:p w14:paraId="4A0A2EE6" w14:textId="7E27E949" w:rsidR="00D6774E" w:rsidRPr="00334F9E" w:rsidRDefault="0002181B" w:rsidP="00021B04">
      <w:pPr>
        <w:jc w:val="center"/>
        <w:rPr>
          <w:rFonts w:ascii="Arial" w:hAnsi="Arial" w:cs="Arial"/>
        </w:rPr>
      </w:pPr>
      <w:r w:rsidRPr="00334F9E">
        <w:rPr>
          <w:rFonts w:ascii="Arial" w:hAnsi="Arial" w:cs="Arial"/>
          <w:b/>
          <w:kern w:val="28"/>
        </w:rPr>
        <w:t>2024</w:t>
      </w:r>
      <w:r w:rsidR="008E7DCA" w:rsidRPr="00334F9E">
        <w:rPr>
          <w:rFonts w:ascii="Arial" w:hAnsi="Arial" w:cs="Arial"/>
          <w:b/>
          <w:kern w:val="28"/>
        </w:rPr>
        <w:t xml:space="preserve"> </w:t>
      </w:r>
      <w:r w:rsidR="00107955" w:rsidRPr="00334F9E">
        <w:rPr>
          <w:rFonts w:ascii="Arial" w:hAnsi="Arial" w:cs="Arial"/>
          <w:b/>
          <w:kern w:val="28"/>
        </w:rPr>
        <w:t>IE</w:t>
      </w:r>
      <w:r w:rsidR="008E7DCA" w:rsidRPr="00334F9E">
        <w:rPr>
          <w:rFonts w:ascii="Arial" w:hAnsi="Arial" w:cs="Arial"/>
          <w:b/>
          <w:kern w:val="28"/>
        </w:rPr>
        <w:t>CC</w:t>
      </w:r>
      <w:r w:rsidR="00107955" w:rsidRPr="00334F9E">
        <w:rPr>
          <w:rFonts w:ascii="Arial" w:hAnsi="Arial" w:cs="Arial"/>
          <w:b/>
          <w:kern w:val="28"/>
        </w:rPr>
        <w:t xml:space="preserve"> (Energy Provisions of the </w:t>
      </w:r>
      <w:r w:rsidRPr="00334F9E">
        <w:rPr>
          <w:rFonts w:ascii="Arial" w:hAnsi="Arial" w:cs="Arial"/>
          <w:b/>
          <w:kern w:val="28"/>
        </w:rPr>
        <w:t>2024</w:t>
      </w:r>
      <w:r w:rsidR="00107955" w:rsidRPr="00334F9E">
        <w:rPr>
          <w:rFonts w:ascii="Arial" w:hAnsi="Arial" w:cs="Arial"/>
          <w:b/>
          <w:kern w:val="28"/>
        </w:rPr>
        <w:t xml:space="preserve"> IRC)</w:t>
      </w:r>
    </w:p>
    <w:p w14:paraId="03B61D34" w14:textId="77777777" w:rsidR="00F61DDA" w:rsidRPr="00334F9E" w:rsidRDefault="00F61DDA" w:rsidP="0004747A">
      <w:pPr>
        <w:shd w:val="clear" w:color="auto" w:fill="A0A0A0"/>
        <w:jc w:val="both"/>
        <w:rPr>
          <w:rFonts w:ascii="Arial" w:hAnsi="Arial" w:cs="Arial"/>
          <w:b/>
        </w:rPr>
      </w:pPr>
    </w:p>
    <w:p w14:paraId="27649E67" w14:textId="77777777" w:rsidR="0002181B" w:rsidRPr="00334F9E" w:rsidRDefault="0002181B" w:rsidP="0002181B">
      <w:pPr>
        <w:jc w:val="both"/>
        <w:rPr>
          <w:rFonts w:ascii="Arial" w:hAnsi="Arial" w:cs="Arial"/>
          <w:b/>
          <w:bCs/>
          <w:u w:val="single"/>
        </w:rPr>
      </w:pPr>
      <w:r w:rsidRPr="00334F9E">
        <w:rPr>
          <w:rFonts w:ascii="Arial" w:hAnsi="Arial" w:cs="Arial"/>
          <w:b/>
          <w:bCs/>
          <w:u w:val="single"/>
        </w:rPr>
        <w:t xml:space="preserve">NOTE: </w:t>
      </w:r>
    </w:p>
    <w:p w14:paraId="5A1D8BAA" w14:textId="77777777" w:rsidR="0002181B" w:rsidRPr="00334F9E" w:rsidRDefault="0002181B" w:rsidP="0002181B">
      <w:pPr>
        <w:jc w:val="both"/>
        <w:rPr>
          <w:rFonts w:ascii="Arial" w:hAnsi="Arial" w:cs="Arial"/>
          <w:u w:val="single"/>
        </w:rPr>
      </w:pPr>
    </w:p>
    <w:p w14:paraId="3A83E614" w14:textId="77777777" w:rsidR="0002181B" w:rsidRPr="00334F9E" w:rsidRDefault="0002181B" w:rsidP="0002181B">
      <w:pPr>
        <w:jc w:val="both"/>
        <w:rPr>
          <w:rFonts w:ascii="Arial" w:hAnsi="Arial" w:cs="Arial"/>
          <w:i/>
          <w:iCs/>
          <w:u w:val="single"/>
        </w:rPr>
      </w:pPr>
      <w:r w:rsidRPr="00334F9E">
        <w:rPr>
          <w:rFonts w:ascii="Arial" w:hAnsi="Arial" w:cs="Arial"/>
          <w:i/>
          <w:iCs/>
          <w:u w:val="single"/>
        </w:rPr>
        <w:t>In the case when an AHJ has governance over land in both Climate Zones 2A and 3A, this body recommends that said jurisdiction amends Tables C301.1 and R301.1 accordingly such that the entire area they have jurisdiction over is of the same Climate Zone.</w:t>
      </w:r>
    </w:p>
    <w:p w14:paraId="02A9F91D" w14:textId="77777777" w:rsidR="0002181B" w:rsidRPr="00334F9E" w:rsidRDefault="0002181B" w:rsidP="0002181B">
      <w:pPr>
        <w:jc w:val="both"/>
        <w:rPr>
          <w:rFonts w:ascii="Arial" w:hAnsi="Arial" w:cs="Arial"/>
        </w:rPr>
      </w:pPr>
    </w:p>
    <w:p w14:paraId="10E45563" w14:textId="77777777" w:rsidR="0002181B" w:rsidRPr="00334F9E" w:rsidRDefault="0002181B" w:rsidP="0002181B">
      <w:pPr>
        <w:shd w:val="clear" w:color="auto" w:fill="A0A0A0"/>
        <w:jc w:val="both"/>
        <w:rPr>
          <w:rFonts w:ascii="Arial" w:hAnsi="Arial" w:cs="Arial"/>
          <w:b/>
        </w:rPr>
      </w:pPr>
    </w:p>
    <w:p w14:paraId="7A9B4A5B" w14:textId="77777777" w:rsidR="009639B8" w:rsidRPr="00334F9E" w:rsidRDefault="009639B8" w:rsidP="0004747A">
      <w:pPr>
        <w:jc w:val="both"/>
        <w:rPr>
          <w:rFonts w:ascii="Arial" w:hAnsi="Arial" w:cs="Arial"/>
          <w:b/>
          <w:i/>
        </w:rPr>
      </w:pPr>
      <w:r w:rsidRPr="00334F9E">
        <w:rPr>
          <w:rFonts w:ascii="Arial" w:hAnsi="Arial" w:cs="Arial"/>
          <w:b/>
          <w:i/>
        </w:rPr>
        <w:t>**</w:t>
      </w:r>
      <w:r w:rsidR="00BE2F4E" w:rsidRPr="00334F9E">
        <w:rPr>
          <w:rFonts w:ascii="Arial" w:hAnsi="Arial" w:cs="Arial"/>
          <w:b/>
          <w:i/>
        </w:rPr>
        <w:t xml:space="preserve">Section </w:t>
      </w:r>
      <w:r w:rsidR="00612D6C" w:rsidRPr="00334F9E">
        <w:rPr>
          <w:rFonts w:ascii="Arial" w:hAnsi="Arial" w:cs="Arial"/>
          <w:b/>
          <w:i/>
        </w:rPr>
        <w:t>C102/R102</w:t>
      </w:r>
      <w:r w:rsidR="006800D1" w:rsidRPr="00334F9E">
        <w:rPr>
          <w:rFonts w:ascii="Arial" w:hAnsi="Arial" w:cs="Arial"/>
          <w:b/>
          <w:i/>
        </w:rPr>
        <w:t xml:space="preserve"> General</w:t>
      </w:r>
      <w:r w:rsidR="00612D6C" w:rsidRPr="00334F9E">
        <w:rPr>
          <w:rFonts w:ascii="Arial" w:hAnsi="Arial" w:cs="Arial"/>
          <w:b/>
          <w:i/>
        </w:rPr>
        <w:t>; add Section C102.1.2 and R102.1.2</w:t>
      </w:r>
      <w:r w:rsidR="003C6B0C" w:rsidRPr="00334F9E">
        <w:rPr>
          <w:rFonts w:ascii="Arial" w:hAnsi="Arial" w:cs="Arial"/>
          <w:b/>
          <w:i/>
        </w:rPr>
        <w:t xml:space="preserve"> </w:t>
      </w:r>
      <w:r w:rsidR="003C6B0C" w:rsidRPr="00334F9E">
        <w:rPr>
          <w:rFonts w:ascii="Arial" w:hAnsi="Arial" w:cs="Arial"/>
          <w:b/>
          <w:bCs/>
          <w:i/>
        </w:rPr>
        <w:t>(N1101.4.1)</w:t>
      </w:r>
      <w:r w:rsidR="00612D6C" w:rsidRPr="00334F9E">
        <w:rPr>
          <w:rFonts w:ascii="Arial" w:hAnsi="Arial" w:cs="Arial"/>
          <w:b/>
          <w:i/>
        </w:rPr>
        <w:t xml:space="preserve"> </w:t>
      </w:r>
      <w:r w:rsidRPr="00334F9E">
        <w:rPr>
          <w:rFonts w:ascii="Arial" w:hAnsi="Arial" w:cs="Arial"/>
          <w:b/>
          <w:i/>
        </w:rPr>
        <w:t>to read as follows:</w:t>
      </w:r>
    </w:p>
    <w:p w14:paraId="32807394" w14:textId="77777777" w:rsidR="009639B8" w:rsidRPr="00334F9E" w:rsidRDefault="00612D6C" w:rsidP="0004747A">
      <w:pPr>
        <w:tabs>
          <w:tab w:val="left" w:pos="2165"/>
        </w:tabs>
        <w:jc w:val="both"/>
        <w:rPr>
          <w:rFonts w:ascii="Arial" w:hAnsi="Arial" w:cs="Arial"/>
          <w:b/>
          <w:i/>
        </w:rPr>
      </w:pPr>
      <w:r w:rsidRPr="00334F9E">
        <w:rPr>
          <w:rFonts w:ascii="Arial" w:hAnsi="Arial" w:cs="Arial"/>
          <w:b/>
          <w:i/>
        </w:rPr>
        <w:tab/>
      </w:r>
    </w:p>
    <w:p w14:paraId="04DECB9D" w14:textId="004015C8" w:rsidR="009639B8" w:rsidRPr="00334F9E" w:rsidRDefault="00612D6C" w:rsidP="0004747A">
      <w:pPr>
        <w:jc w:val="both"/>
        <w:rPr>
          <w:rFonts w:ascii="Arial" w:hAnsi="Arial" w:cs="Arial"/>
          <w:u w:val="single"/>
        </w:rPr>
      </w:pPr>
      <w:r w:rsidRPr="00334F9E">
        <w:rPr>
          <w:rFonts w:ascii="Arial" w:hAnsi="Arial" w:cs="Arial"/>
          <w:b/>
          <w:bCs/>
          <w:u w:val="single"/>
        </w:rPr>
        <w:t>C10</w:t>
      </w:r>
      <w:r w:rsidR="0002181B" w:rsidRPr="00334F9E">
        <w:rPr>
          <w:rFonts w:ascii="Arial" w:hAnsi="Arial" w:cs="Arial"/>
          <w:b/>
          <w:bCs/>
          <w:u w:val="single"/>
        </w:rPr>
        <w:t>4</w:t>
      </w:r>
      <w:r w:rsidRPr="00334F9E">
        <w:rPr>
          <w:rFonts w:ascii="Arial" w:hAnsi="Arial" w:cs="Arial"/>
          <w:b/>
          <w:bCs/>
          <w:u w:val="single"/>
        </w:rPr>
        <w:t xml:space="preserve">.1.2 </w:t>
      </w:r>
      <w:r w:rsidR="009639B8" w:rsidRPr="00334F9E">
        <w:rPr>
          <w:rFonts w:ascii="Arial" w:hAnsi="Arial" w:cs="Arial"/>
          <w:b/>
          <w:bCs/>
          <w:u w:val="single"/>
        </w:rPr>
        <w:t>Alternative compliance</w:t>
      </w:r>
      <w:r w:rsidR="009639B8" w:rsidRPr="00334F9E">
        <w:rPr>
          <w:rFonts w:ascii="Arial" w:hAnsi="Arial" w:cs="Arial"/>
          <w:u w:val="single"/>
        </w:rPr>
        <w:t xml:space="preserve">.  A building certified by a national, state, or local accredited energy efficiency program and determined by the Energy Systems Laboratory to </w:t>
      </w:r>
      <w:proofErr w:type="gramStart"/>
      <w:r w:rsidR="009639B8" w:rsidRPr="00334F9E">
        <w:rPr>
          <w:rFonts w:ascii="Arial" w:hAnsi="Arial" w:cs="Arial"/>
          <w:u w:val="single"/>
        </w:rPr>
        <w:t>be in compliance with</w:t>
      </w:r>
      <w:proofErr w:type="gramEnd"/>
      <w:r w:rsidR="009639B8" w:rsidRPr="00334F9E">
        <w:rPr>
          <w:rFonts w:ascii="Arial" w:hAnsi="Arial" w:cs="Arial"/>
          <w:u w:val="single"/>
        </w:rPr>
        <w:t xml:space="preserve"> the energy efficiency requirements of this section may, at the option of the Code Official, be considered in compliance.  The United States Environmental Protection Agency's Energy Star Program certification of energy code equivalency shall be considered in compliance.</w:t>
      </w:r>
    </w:p>
    <w:p w14:paraId="7235E727" w14:textId="77777777" w:rsidR="006D5021" w:rsidRPr="00334F9E" w:rsidRDefault="006D5021" w:rsidP="0004747A">
      <w:pPr>
        <w:jc w:val="both"/>
        <w:rPr>
          <w:rFonts w:ascii="Arial" w:hAnsi="Arial" w:cs="Arial"/>
          <w:u w:val="single"/>
        </w:rPr>
      </w:pPr>
    </w:p>
    <w:p w14:paraId="18F1A7F3" w14:textId="508CF340" w:rsidR="006D5021" w:rsidRPr="00334F9E" w:rsidRDefault="006D5021" w:rsidP="006D5021">
      <w:pPr>
        <w:jc w:val="both"/>
        <w:rPr>
          <w:rFonts w:ascii="Arial" w:hAnsi="Arial" w:cs="Arial"/>
          <w:u w:val="single"/>
        </w:rPr>
      </w:pPr>
      <w:r w:rsidRPr="00334F9E">
        <w:rPr>
          <w:rFonts w:ascii="Arial" w:hAnsi="Arial" w:cs="Arial"/>
          <w:b/>
          <w:bCs/>
          <w:u w:val="single"/>
        </w:rPr>
        <w:t>R10</w:t>
      </w:r>
      <w:r w:rsidR="0002181B" w:rsidRPr="00334F9E">
        <w:rPr>
          <w:rFonts w:ascii="Arial" w:hAnsi="Arial" w:cs="Arial"/>
          <w:b/>
          <w:bCs/>
          <w:u w:val="single"/>
        </w:rPr>
        <w:t>4</w:t>
      </w:r>
      <w:r w:rsidRPr="00334F9E">
        <w:rPr>
          <w:rFonts w:ascii="Arial" w:hAnsi="Arial" w:cs="Arial"/>
          <w:b/>
          <w:bCs/>
          <w:u w:val="single"/>
        </w:rPr>
        <w:t>.1.2</w:t>
      </w:r>
      <w:r w:rsidR="00115E92" w:rsidRPr="00334F9E">
        <w:rPr>
          <w:rFonts w:ascii="Arial" w:hAnsi="Arial" w:cs="Arial"/>
          <w:b/>
          <w:bCs/>
          <w:u w:val="single"/>
        </w:rPr>
        <w:t xml:space="preserve"> (N1101.4.1)</w:t>
      </w:r>
      <w:r w:rsidRPr="00334F9E">
        <w:rPr>
          <w:rFonts w:ascii="Arial" w:hAnsi="Arial" w:cs="Arial"/>
          <w:b/>
          <w:bCs/>
          <w:u w:val="single"/>
        </w:rPr>
        <w:t xml:space="preserve"> Alternative compliance</w:t>
      </w:r>
      <w:r w:rsidRPr="00334F9E">
        <w:rPr>
          <w:rFonts w:ascii="Arial" w:hAnsi="Arial" w:cs="Arial"/>
          <w:u w:val="single"/>
        </w:rPr>
        <w:t xml:space="preserve">.  A building certified by a national, state, or local accredited energy efficiency program and determined by the Energy Systems Laboratory to </w:t>
      </w:r>
      <w:proofErr w:type="gramStart"/>
      <w:r w:rsidRPr="00334F9E">
        <w:rPr>
          <w:rFonts w:ascii="Arial" w:hAnsi="Arial" w:cs="Arial"/>
          <w:u w:val="single"/>
        </w:rPr>
        <w:t>be in compliance with</w:t>
      </w:r>
      <w:proofErr w:type="gramEnd"/>
      <w:r w:rsidRPr="00334F9E">
        <w:rPr>
          <w:rFonts w:ascii="Arial" w:hAnsi="Arial" w:cs="Arial"/>
          <w:u w:val="single"/>
        </w:rPr>
        <w:t xml:space="preserve"> the energy efficiency requirements of this section may, at the option of the Code Official, be considered in compliance.  The United States Environmental Protection Agency's Energy Star Program certification of energy code equivalency shall be considered in compliance.  Regardless of the program or the path to compliance, each 1- and 2-family dwelling shall be tested for air and duct leakage as prescribed in Section R402.</w:t>
      </w:r>
      <w:r w:rsidR="0002181B" w:rsidRPr="00334F9E">
        <w:rPr>
          <w:rFonts w:ascii="Arial" w:hAnsi="Arial" w:cs="Arial"/>
          <w:u w:val="single"/>
        </w:rPr>
        <w:t>5</w:t>
      </w:r>
      <w:r w:rsidR="008A5845" w:rsidRPr="00334F9E">
        <w:rPr>
          <w:rFonts w:ascii="Arial" w:hAnsi="Arial" w:cs="Arial"/>
          <w:u w:val="single"/>
        </w:rPr>
        <w:t>.1.2 (N1102.</w:t>
      </w:r>
      <w:r w:rsidR="0002181B" w:rsidRPr="00334F9E">
        <w:rPr>
          <w:rFonts w:ascii="Arial" w:hAnsi="Arial" w:cs="Arial"/>
          <w:u w:val="single"/>
        </w:rPr>
        <w:t xml:space="preserve"> 5</w:t>
      </w:r>
      <w:r w:rsidR="008A5845" w:rsidRPr="00334F9E">
        <w:rPr>
          <w:rFonts w:ascii="Arial" w:hAnsi="Arial" w:cs="Arial"/>
          <w:u w:val="single"/>
        </w:rPr>
        <w:t>.1.2)</w:t>
      </w:r>
      <w:r w:rsidRPr="00334F9E">
        <w:rPr>
          <w:rFonts w:ascii="Arial" w:hAnsi="Arial" w:cs="Arial"/>
          <w:u w:val="single"/>
        </w:rPr>
        <w:t xml:space="preserve"> and R403.3.</w:t>
      </w:r>
      <w:r w:rsidR="0002181B" w:rsidRPr="00334F9E">
        <w:rPr>
          <w:rFonts w:ascii="Arial" w:hAnsi="Arial" w:cs="Arial"/>
          <w:u w:val="single"/>
        </w:rPr>
        <w:t>7</w:t>
      </w:r>
      <w:r w:rsidR="008A5845" w:rsidRPr="00334F9E">
        <w:rPr>
          <w:rFonts w:ascii="Arial" w:hAnsi="Arial" w:cs="Arial"/>
          <w:u w:val="single"/>
        </w:rPr>
        <w:t xml:space="preserve"> (N1103.3.</w:t>
      </w:r>
      <w:r w:rsidR="0002181B" w:rsidRPr="00334F9E">
        <w:rPr>
          <w:rFonts w:ascii="Arial" w:hAnsi="Arial" w:cs="Arial"/>
          <w:u w:val="single"/>
        </w:rPr>
        <w:t>7</w:t>
      </w:r>
      <w:r w:rsidR="008A5845" w:rsidRPr="00334F9E">
        <w:rPr>
          <w:rFonts w:ascii="Arial" w:hAnsi="Arial" w:cs="Arial"/>
          <w:u w:val="single"/>
        </w:rPr>
        <w:t>)</w:t>
      </w:r>
      <w:r w:rsidRPr="00334F9E">
        <w:rPr>
          <w:rFonts w:ascii="Arial" w:hAnsi="Arial" w:cs="Arial"/>
          <w:u w:val="single"/>
        </w:rPr>
        <w:t xml:space="preserve"> respectively.</w:t>
      </w:r>
    </w:p>
    <w:p w14:paraId="09C4D498" w14:textId="77777777" w:rsidR="006D5021" w:rsidRPr="00334F9E" w:rsidRDefault="006D5021" w:rsidP="0004747A">
      <w:pPr>
        <w:jc w:val="both"/>
        <w:rPr>
          <w:rFonts w:ascii="Arial" w:hAnsi="Arial" w:cs="Arial"/>
          <w:u w:val="single"/>
        </w:rPr>
      </w:pPr>
    </w:p>
    <w:p w14:paraId="5F1C915A" w14:textId="77777777" w:rsidR="006D5021" w:rsidRPr="00334F9E" w:rsidRDefault="00D6774E" w:rsidP="0004747A">
      <w:pPr>
        <w:jc w:val="both"/>
        <w:rPr>
          <w:rFonts w:ascii="Arial" w:hAnsi="Arial" w:cs="Arial"/>
          <w:i/>
        </w:rPr>
      </w:pPr>
      <w:r w:rsidRPr="00334F9E">
        <w:rPr>
          <w:rFonts w:ascii="Arial" w:hAnsi="Arial" w:cs="Arial"/>
          <w:i/>
        </w:rPr>
        <w:t xml:space="preserve">(Reason: </w:t>
      </w:r>
      <w:r w:rsidR="006D5021" w:rsidRPr="00334F9E">
        <w:rPr>
          <w:rFonts w:ascii="Arial" w:hAnsi="Arial" w:cs="Arial"/>
          <w:i/>
        </w:rPr>
        <w:t>T</w:t>
      </w:r>
      <w:r w:rsidRPr="00334F9E">
        <w:rPr>
          <w:rFonts w:ascii="Arial" w:hAnsi="Arial" w:cs="Arial"/>
          <w:i/>
        </w:rPr>
        <w:t>his amendment is added to allow alternative compliance in accordance with Texas HB 1365, 78</w:t>
      </w:r>
      <w:r w:rsidRPr="00334F9E">
        <w:rPr>
          <w:rFonts w:ascii="Arial" w:hAnsi="Arial" w:cs="Arial"/>
          <w:i/>
          <w:vertAlign w:val="superscript"/>
        </w:rPr>
        <w:t>th</w:t>
      </w:r>
      <w:r w:rsidRPr="00334F9E">
        <w:rPr>
          <w:rFonts w:ascii="Arial" w:hAnsi="Arial" w:cs="Arial"/>
          <w:i/>
        </w:rPr>
        <w:t xml:space="preserve"> Legislature.</w:t>
      </w:r>
      <w:r w:rsidR="00DB307D" w:rsidRPr="00334F9E">
        <w:rPr>
          <w:rFonts w:ascii="Arial" w:hAnsi="Arial" w:cs="Arial"/>
          <w:i/>
        </w:rPr>
        <w:t xml:space="preserve"> Codified in Chapter 388 Texas Building Energy Performance Standards: </w:t>
      </w:r>
      <w:r w:rsidR="00CB5B20" w:rsidRPr="00334F9E">
        <w:rPr>
          <w:rFonts w:ascii="Arial" w:hAnsi="Arial" w:cs="Arial"/>
          <w:i/>
        </w:rPr>
        <w:t>§</w:t>
      </w:r>
      <w:r w:rsidR="00DB307D" w:rsidRPr="00334F9E">
        <w:rPr>
          <w:rFonts w:ascii="Arial" w:hAnsi="Arial" w:cs="Arial"/>
          <w:i/>
        </w:rPr>
        <w:t>388.003(</w:t>
      </w:r>
      <w:proofErr w:type="spellStart"/>
      <w:r w:rsidR="00DB307D" w:rsidRPr="00334F9E">
        <w:rPr>
          <w:rFonts w:ascii="Arial" w:hAnsi="Arial" w:cs="Arial"/>
          <w:i/>
        </w:rPr>
        <w:t>i</w:t>
      </w:r>
      <w:proofErr w:type="spellEnd"/>
      <w:r w:rsidR="00DB307D" w:rsidRPr="00334F9E">
        <w:rPr>
          <w:rFonts w:ascii="Arial" w:hAnsi="Arial" w:cs="Arial"/>
          <w:i/>
        </w:rPr>
        <w:t xml:space="preserve">). </w:t>
      </w:r>
    </w:p>
    <w:p w14:paraId="66010422" w14:textId="605A2FAF" w:rsidR="00D6774E" w:rsidRPr="00334F9E" w:rsidRDefault="006D5021" w:rsidP="0004747A">
      <w:pPr>
        <w:jc w:val="both"/>
        <w:rPr>
          <w:rFonts w:ascii="Arial" w:hAnsi="Arial" w:cs="Arial"/>
          <w:i/>
        </w:rPr>
      </w:pPr>
      <w:r w:rsidRPr="00334F9E">
        <w:rPr>
          <w:rFonts w:ascii="Arial" w:hAnsi="Arial" w:cs="Arial"/>
          <w:i/>
        </w:rPr>
        <w:t>The last sentence to Section R10</w:t>
      </w:r>
      <w:r w:rsidR="0002181B" w:rsidRPr="00334F9E">
        <w:rPr>
          <w:rFonts w:ascii="Arial" w:hAnsi="Arial" w:cs="Arial"/>
          <w:i/>
        </w:rPr>
        <w:t>4</w:t>
      </w:r>
      <w:r w:rsidRPr="00334F9E">
        <w:rPr>
          <w:rFonts w:ascii="Arial" w:hAnsi="Arial" w:cs="Arial"/>
          <w:i/>
        </w:rPr>
        <w:t>.1.2</w:t>
      </w:r>
      <w:r w:rsidR="00115E92" w:rsidRPr="00334F9E">
        <w:rPr>
          <w:rFonts w:ascii="Arial" w:hAnsi="Arial" w:cs="Arial"/>
          <w:i/>
        </w:rPr>
        <w:t xml:space="preserve"> (N1101.4.1)</w:t>
      </w:r>
      <w:r w:rsidRPr="00334F9E">
        <w:rPr>
          <w:rFonts w:ascii="Arial" w:hAnsi="Arial" w:cs="Arial"/>
          <w:i/>
        </w:rPr>
        <w:t xml:space="preserve"> was added to </w:t>
      </w:r>
      <w:r w:rsidR="00351112" w:rsidRPr="00334F9E">
        <w:rPr>
          <w:rFonts w:ascii="Arial" w:hAnsi="Arial" w:cs="Arial"/>
          <w:i/>
        </w:rPr>
        <w:t>ensure</w:t>
      </w:r>
      <w:r w:rsidRPr="00334F9E">
        <w:rPr>
          <w:rFonts w:ascii="Arial" w:hAnsi="Arial" w:cs="Arial"/>
          <w:i/>
        </w:rPr>
        <w:t xml:space="preserve"> that every house is tested in accordance with the mandatory provisions of the code.</w:t>
      </w:r>
      <w:r w:rsidR="007A638C" w:rsidRPr="00334F9E">
        <w:rPr>
          <w:rFonts w:ascii="Arial" w:hAnsi="Arial" w:cs="Arial"/>
          <w:i/>
        </w:rPr>
        <w:t>)</w:t>
      </w:r>
    </w:p>
    <w:p w14:paraId="50086F68" w14:textId="77777777" w:rsidR="00D6774E" w:rsidRPr="00334F9E" w:rsidRDefault="00D6774E" w:rsidP="0004747A">
      <w:pPr>
        <w:shd w:val="clear" w:color="auto" w:fill="A0A0A0"/>
        <w:jc w:val="both"/>
        <w:rPr>
          <w:rFonts w:ascii="Arial" w:hAnsi="Arial" w:cs="Arial"/>
          <w:b/>
        </w:rPr>
      </w:pPr>
      <w:bookmarkStart w:id="1" w:name="_Hlk189459962"/>
    </w:p>
    <w:bookmarkEnd w:id="1"/>
    <w:p w14:paraId="38D41CFE" w14:textId="360886C1" w:rsidR="00EF7266" w:rsidRPr="00334F9E" w:rsidRDefault="00707249" w:rsidP="00EF7266">
      <w:pPr>
        <w:autoSpaceDE w:val="0"/>
        <w:autoSpaceDN w:val="0"/>
        <w:adjustRightInd w:val="0"/>
        <w:rPr>
          <w:rFonts w:ascii="Arial" w:hAnsi="Arial" w:cs="Arial"/>
          <w:b/>
          <w:i/>
        </w:rPr>
      </w:pPr>
      <w:r>
        <w:rPr>
          <w:rFonts w:ascii="Arial" w:hAnsi="Arial" w:cs="Arial"/>
          <w:b/>
        </w:rPr>
        <w:t>***</w:t>
      </w:r>
      <w:r w:rsidR="00EF7266" w:rsidRPr="00334F9E">
        <w:rPr>
          <w:rFonts w:ascii="Arial" w:hAnsi="Arial" w:cs="Arial"/>
          <w:b/>
        </w:rPr>
        <w:t>Section C403.7.4.1</w:t>
      </w:r>
      <w:r w:rsidR="00EF7266" w:rsidRPr="00334F9E">
        <w:t xml:space="preserve"> </w:t>
      </w:r>
      <w:proofErr w:type="spellStart"/>
      <w:r w:rsidR="00EF7266" w:rsidRPr="00334F9E">
        <w:rPr>
          <w:rFonts w:ascii="Arial" w:hAnsi="Arial" w:cs="Arial"/>
          <w:b/>
        </w:rPr>
        <w:t>Nontransient</w:t>
      </w:r>
      <w:proofErr w:type="spellEnd"/>
      <w:r w:rsidR="00EF7266" w:rsidRPr="00334F9E">
        <w:rPr>
          <w:rFonts w:ascii="Arial" w:hAnsi="Arial" w:cs="Arial"/>
          <w:b/>
        </w:rPr>
        <w:t xml:space="preserve"> dwelling units.; </w:t>
      </w:r>
      <w:r w:rsidR="00EF7266" w:rsidRPr="00334F9E">
        <w:rPr>
          <w:rFonts w:ascii="Arial" w:hAnsi="Arial" w:cs="Arial"/>
          <w:b/>
          <w:i/>
        </w:rPr>
        <w:t>amend as follows.</w:t>
      </w:r>
    </w:p>
    <w:p w14:paraId="63DD032F" w14:textId="3C68FEE3" w:rsidR="00EF7266" w:rsidRPr="00334F9E" w:rsidRDefault="00EF7266" w:rsidP="001A705B">
      <w:pPr>
        <w:autoSpaceDE w:val="0"/>
        <w:autoSpaceDN w:val="0"/>
        <w:adjustRightInd w:val="0"/>
        <w:rPr>
          <w:rFonts w:ascii="Arial" w:hAnsi="Arial" w:cs="Arial"/>
          <w:b/>
        </w:rPr>
      </w:pPr>
    </w:p>
    <w:p w14:paraId="718C63A5" w14:textId="33FE3B64" w:rsidR="00EF7266" w:rsidRPr="00334F9E" w:rsidRDefault="00EF7266" w:rsidP="00EF7266">
      <w:pPr>
        <w:autoSpaceDE w:val="0"/>
        <w:autoSpaceDN w:val="0"/>
        <w:adjustRightInd w:val="0"/>
        <w:rPr>
          <w:rFonts w:ascii="Arial" w:hAnsi="Arial" w:cs="Arial"/>
          <w:bCs/>
        </w:rPr>
      </w:pPr>
      <w:r w:rsidRPr="00334F9E">
        <w:rPr>
          <w:rFonts w:ascii="Arial" w:hAnsi="Arial" w:cs="Arial"/>
          <w:b/>
        </w:rPr>
        <w:t xml:space="preserve">C403.7.4.1 </w:t>
      </w:r>
      <w:proofErr w:type="spellStart"/>
      <w:r w:rsidRPr="00334F9E">
        <w:rPr>
          <w:rFonts w:ascii="Arial" w:hAnsi="Arial" w:cs="Arial"/>
          <w:b/>
        </w:rPr>
        <w:t>Nontransient</w:t>
      </w:r>
      <w:proofErr w:type="spellEnd"/>
      <w:r w:rsidRPr="00334F9E">
        <w:rPr>
          <w:rFonts w:ascii="Arial" w:hAnsi="Arial" w:cs="Arial"/>
          <w:b/>
        </w:rPr>
        <w:t xml:space="preserve"> dwelling units.</w:t>
      </w:r>
      <w:r w:rsidRPr="00334F9E">
        <w:rPr>
          <w:rFonts w:ascii="Arial" w:hAnsi="Arial" w:cs="Arial"/>
          <w:bCs/>
        </w:rPr>
        <w:t xml:space="preserve"> </w:t>
      </w:r>
      <w:proofErr w:type="spellStart"/>
      <w:r w:rsidRPr="00334F9E">
        <w:rPr>
          <w:rFonts w:ascii="Arial" w:hAnsi="Arial" w:cs="Arial"/>
          <w:bCs/>
        </w:rPr>
        <w:t>Nontransient</w:t>
      </w:r>
      <w:proofErr w:type="spellEnd"/>
      <w:r w:rsidRPr="00334F9E">
        <w:rPr>
          <w:rFonts w:ascii="Arial" w:hAnsi="Arial" w:cs="Arial"/>
          <w:bCs/>
        </w:rPr>
        <w:t xml:space="preserve"> dwelling units shall be provided with outdoor air energy recovery ventilation systems complying with not less than one of the following:</w:t>
      </w:r>
    </w:p>
    <w:p w14:paraId="3B3AC42F" w14:textId="6EE46836" w:rsidR="00EF7266" w:rsidRPr="00334F9E" w:rsidRDefault="00EF7266" w:rsidP="00866A45">
      <w:pPr>
        <w:pStyle w:val="ListParagraph"/>
        <w:numPr>
          <w:ilvl w:val="0"/>
          <w:numId w:val="16"/>
        </w:numPr>
        <w:autoSpaceDE w:val="0"/>
        <w:autoSpaceDN w:val="0"/>
        <w:adjustRightInd w:val="0"/>
        <w:rPr>
          <w:rFonts w:ascii="Arial" w:hAnsi="Arial" w:cs="Arial"/>
          <w:bCs/>
          <w:sz w:val="20"/>
          <w:szCs w:val="20"/>
        </w:rPr>
      </w:pPr>
      <w:r w:rsidRPr="00334F9E">
        <w:rPr>
          <w:rFonts w:ascii="Arial" w:hAnsi="Arial" w:cs="Arial"/>
          <w:bCs/>
          <w:sz w:val="20"/>
          <w:szCs w:val="20"/>
        </w:rPr>
        <w:t>The system shall have an enthalpy recovery ratio of not less than 50 percent at cooling design condition and not less than 60 percent at heating design condition.</w:t>
      </w:r>
    </w:p>
    <w:p w14:paraId="0C50179A" w14:textId="4BB33EA3" w:rsidR="00EF7266" w:rsidRPr="00334F9E" w:rsidRDefault="00EF7266" w:rsidP="005E17CA">
      <w:pPr>
        <w:pStyle w:val="ListParagraph"/>
        <w:numPr>
          <w:ilvl w:val="0"/>
          <w:numId w:val="16"/>
        </w:numPr>
        <w:autoSpaceDE w:val="0"/>
        <w:autoSpaceDN w:val="0"/>
        <w:adjustRightInd w:val="0"/>
        <w:rPr>
          <w:rFonts w:ascii="Arial" w:hAnsi="Arial" w:cs="Arial"/>
          <w:bCs/>
          <w:sz w:val="20"/>
          <w:szCs w:val="20"/>
        </w:rPr>
      </w:pPr>
      <w:r w:rsidRPr="00334F9E">
        <w:rPr>
          <w:rFonts w:ascii="Arial" w:hAnsi="Arial" w:cs="Arial"/>
          <w:bCs/>
          <w:sz w:val="20"/>
          <w:szCs w:val="20"/>
        </w:rPr>
        <w:lastRenderedPageBreak/>
        <w:t xml:space="preserve">The system shall have a sensible recovery efficiency (SRE) that is not less than 65 percent at 32°F (0°C) and in Climate Zones 0A, 1A, 2A and 3A shall have a net moisture transfer (NMT) that is not less than </w:t>
      </w:r>
      <w:proofErr w:type="gramStart"/>
      <w:r w:rsidRPr="00334F9E">
        <w:rPr>
          <w:rFonts w:ascii="Arial" w:hAnsi="Arial" w:cs="Arial"/>
          <w:bCs/>
          <w:sz w:val="20"/>
          <w:szCs w:val="20"/>
        </w:rPr>
        <w:t>40 percent at 95°</w:t>
      </w:r>
      <w:proofErr w:type="gramEnd"/>
      <w:r w:rsidRPr="00334F9E">
        <w:rPr>
          <w:rFonts w:ascii="Arial" w:hAnsi="Arial" w:cs="Arial"/>
          <w:bCs/>
          <w:sz w:val="20"/>
          <w:szCs w:val="20"/>
        </w:rPr>
        <w:t>F (35°C). SRE and NMT shall be determined from a listed value or from interpolation of listed values at an airflow not less than the design airflow, based on testing in accordance with CAN/CSA C439.</w:t>
      </w:r>
    </w:p>
    <w:p w14:paraId="77A631EE" w14:textId="77777777" w:rsidR="00EF7266" w:rsidRPr="00334F9E" w:rsidRDefault="00EF7266" w:rsidP="00EF7266">
      <w:pPr>
        <w:autoSpaceDE w:val="0"/>
        <w:autoSpaceDN w:val="0"/>
        <w:adjustRightInd w:val="0"/>
        <w:ind w:left="720"/>
        <w:rPr>
          <w:rFonts w:ascii="Arial" w:hAnsi="Arial" w:cs="Arial"/>
          <w:b/>
        </w:rPr>
      </w:pPr>
      <w:r w:rsidRPr="00334F9E">
        <w:rPr>
          <w:rFonts w:ascii="Arial" w:hAnsi="Arial" w:cs="Arial"/>
          <w:b/>
        </w:rPr>
        <w:t>Exceptions:</w:t>
      </w:r>
    </w:p>
    <w:p w14:paraId="52D7386A" w14:textId="77777777" w:rsidR="00EF7266" w:rsidRPr="00334F9E" w:rsidRDefault="00EF7266" w:rsidP="00EF7266">
      <w:pPr>
        <w:pStyle w:val="ListParagraph"/>
        <w:numPr>
          <w:ilvl w:val="1"/>
          <w:numId w:val="16"/>
        </w:numPr>
        <w:autoSpaceDE w:val="0"/>
        <w:autoSpaceDN w:val="0"/>
        <w:adjustRightInd w:val="0"/>
        <w:rPr>
          <w:rFonts w:ascii="Arial" w:hAnsi="Arial" w:cs="Arial"/>
          <w:bCs/>
          <w:sz w:val="20"/>
          <w:szCs w:val="20"/>
        </w:rPr>
      </w:pPr>
      <w:proofErr w:type="spellStart"/>
      <w:r w:rsidRPr="00334F9E">
        <w:rPr>
          <w:rFonts w:ascii="Arial" w:hAnsi="Arial" w:cs="Arial"/>
          <w:bCs/>
          <w:sz w:val="20"/>
          <w:szCs w:val="20"/>
        </w:rPr>
        <w:t>Nontransient</w:t>
      </w:r>
      <w:proofErr w:type="spellEnd"/>
      <w:r w:rsidRPr="00334F9E">
        <w:rPr>
          <w:rFonts w:ascii="Arial" w:hAnsi="Arial" w:cs="Arial"/>
          <w:bCs/>
          <w:sz w:val="20"/>
          <w:szCs w:val="20"/>
        </w:rPr>
        <w:t xml:space="preserve"> dwelling units in Climate Zone 3C.</w:t>
      </w:r>
    </w:p>
    <w:p w14:paraId="5FDD639B" w14:textId="77777777" w:rsidR="00EF7266" w:rsidRPr="00334F9E" w:rsidRDefault="00EF7266" w:rsidP="00EF7266">
      <w:pPr>
        <w:pStyle w:val="ListParagraph"/>
        <w:numPr>
          <w:ilvl w:val="1"/>
          <w:numId w:val="16"/>
        </w:numPr>
        <w:autoSpaceDE w:val="0"/>
        <w:autoSpaceDN w:val="0"/>
        <w:adjustRightInd w:val="0"/>
        <w:rPr>
          <w:rFonts w:ascii="Arial" w:hAnsi="Arial" w:cs="Arial"/>
          <w:bCs/>
          <w:sz w:val="20"/>
          <w:szCs w:val="20"/>
        </w:rPr>
      </w:pPr>
      <w:proofErr w:type="spellStart"/>
      <w:r w:rsidRPr="00334F9E">
        <w:rPr>
          <w:rFonts w:ascii="Arial" w:hAnsi="Arial" w:cs="Arial"/>
          <w:bCs/>
          <w:sz w:val="20"/>
          <w:szCs w:val="20"/>
        </w:rPr>
        <w:t>Nontransient</w:t>
      </w:r>
      <w:proofErr w:type="spellEnd"/>
      <w:r w:rsidRPr="00334F9E">
        <w:rPr>
          <w:rFonts w:ascii="Arial" w:hAnsi="Arial" w:cs="Arial"/>
          <w:bCs/>
          <w:sz w:val="20"/>
          <w:szCs w:val="20"/>
        </w:rPr>
        <w:t xml:space="preserve"> dwelling units with not more than 500 square feet (46 m</w:t>
      </w:r>
      <w:r w:rsidRPr="00334F9E">
        <w:rPr>
          <w:rFonts w:ascii="Arial" w:hAnsi="Arial" w:cs="Arial"/>
          <w:bCs/>
          <w:sz w:val="20"/>
          <w:szCs w:val="20"/>
          <w:vertAlign w:val="superscript"/>
        </w:rPr>
        <w:t>2</w:t>
      </w:r>
      <w:r w:rsidRPr="00334F9E">
        <w:rPr>
          <w:rFonts w:ascii="Arial" w:hAnsi="Arial" w:cs="Arial"/>
          <w:bCs/>
          <w:sz w:val="20"/>
          <w:szCs w:val="20"/>
        </w:rPr>
        <w:t>) of conditioned floor area in Climate Zones 0, 1, 2, 3, 4C and 5C.</w:t>
      </w:r>
    </w:p>
    <w:p w14:paraId="4CF00E7D" w14:textId="77777777" w:rsidR="00EF7266" w:rsidRPr="00334F9E" w:rsidRDefault="00EF7266" w:rsidP="00EF7266">
      <w:pPr>
        <w:pStyle w:val="ListParagraph"/>
        <w:numPr>
          <w:ilvl w:val="1"/>
          <w:numId w:val="16"/>
        </w:numPr>
        <w:autoSpaceDE w:val="0"/>
        <w:autoSpaceDN w:val="0"/>
        <w:adjustRightInd w:val="0"/>
        <w:rPr>
          <w:rFonts w:ascii="Arial" w:hAnsi="Arial" w:cs="Arial"/>
          <w:bCs/>
          <w:sz w:val="20"/>
          <w:szCs w:val="20"/>
        </w:rPr>
      </w:pPr>
      <w:r w:rsidRPr="00334F9E">
        <w:rPr>
          <w:rFonts w:ascii="Arial" w:hAnsi="Arial" w:cs="Arial"/>
          <w:bCs/>
          <w:sz w:val="20"/>
          <w:szCs w:val="20"/>
        </w:rPr>
        <w:t>Enthalpy recovery ratio requirements at heating design condition in Climate Zones 0, 1 and 2.</w:t>
      </w:r>
    </w:p>
    <w:p w14:paraId="00533D94" w14:textId="4F8AA926" w:rsidR="00EF7266" w:rsidRPr="00334F9E" w:rsidRDefault="00EF7266" w:rsidP="00EF7266">
      <w:pPr>
        <w:pStyle w:val="ListParagraph"/>
        <w:numPr>
          <w:ilvl w:val="1"/>
          <w:numId w:val="16"/>
        </w:numPr>
        <w:autoSpaceDE w:val="0"/>
        <w:autoSpaceDN w:val="0"/>
        <w:adjustRightInd w:val="0"/>
        <w:rPr>
          <w:rFonts w:ascii="Arial" w:hAnsi="Arial" w:cs="Arial"/>
          <w:bCs/>
          <w:sz w:val="20"/>
          <w:szCs w:val="20"/>
        </w:rPr>
      </w:pPr>
      <w:r w:rsidRPr="00334F9E">
        <w:rPr>
          <w:rFonts w:ascii="Arial" w:hAnsi="Arial" w:cs="Arial"/>
          <w:bCs/>
          <w:sz w:val="20"/>
          <w:szCs w:val="20"/>
        </w:rPr>
        <w:t>Enthalpy recovery ratio requirements at cooling design condition in Climate Zones 4, 5, 6, 7 and 8.</w:t>
      </w:r>
    </w:p>
    <w:p w14:paraId="1D892033" w14:textId="17507F8D" w:rsidR="00EF7266" w:rsidRPr="00334F9E" w:rsidRDefault="00EF7266" w:rsidP="00EF7266">
      <w:pPr>
        <w:pStyle w:val="ListParagraph"/>
        <w:numPr>
          <w:ilvl w:val="1"/>
          <w:numId w:val="16"/>
        </w:numPr>
        <w:autoSpaceDE w:val="0"/>
        <w:autoSpaceDN w:val="0"/>
        <w:adjustRightInd w:val="0"/>
        <w:rPr>
          <w:rFonts w:ascii="Arial" w:hAnsi="Arial" w:cs="Arial"/>
          <w:bCs/>
          <w:sz w:val="20"/>
          <w:szCs w:val="20"/>
          <w:u w:val="single"/>
        </w:rPr>
      </w:pPr>
      <w:r w:rsidRPr="00334F9E">
        <w:rPr>
          <w:rFonts w:ascii="Arial" w:hAnsi="Arial" w:cs="Arial"/>
          <w:bCs/>
          <w:sz w:val="20"/>
          <w:szCs w:val="20"/>
          <w:u w:val="single"/>
        </w:rPr>
        <w:t>Dwelling units using ventilation systems per the Fan Efficacy Table in R406, shall be considered in compliance.</w:t>
      </w:r>
    </w:p>
    <w:p w14:paraId="674AC0EE" w14:textId="77777777" w:rsidR="00EF7266" w:rsidRPr="00334F9E" w:rsidRDefault="00EF7266" w:rsidP="00EF7266">
      <w:pPr>
        <w:autoSpaceDE w:val="0"/>
        <w:autoSpaceDN w:val="0"/>
        <w:adjustRightInd w:val="0"/>
        <w:rPr>
          <w:rFonts w:ascii="Arial" w:hAnsi="Arial" w:cs="Arial"/>
          <w:b/>
          <w:u w:val="single"/>
        </w:rPr>
      </w:pPr>
    </w:p>
    <w:p w14:paraId="5BAA7F6D" w14:textId="77777777" w:rsidR="00EF7266" w:rsidRPr="00334F9E" w:rsidRDefault="00EF7266" w:rsidP="00EF7266">
      <w:pPr>
        <w:shd w:val="clear" w:color="auto" w:fill="A0A0A0"/>
        <w:jc w:val="both"/>
        <w:rPr>
          <w:rFonts w:ascii="Arial" w:hAnsi="Arial" w:cs="Arial"/>
          <w:b/>
        </w:rPr>
      </w:pPr>
    </w:p>
    <w:p w14:paraId="1215DC89" w14:textId="32E7F0C8" w:rsidR="001A705B" w:rsidRPr="00334F9E" w:rsidRDefault="001A705B" w:rsidP="001A705B">
      <w:pPr>
        <w:autoSpaceDE w:val="0"/>
        <w:autoSpaceDN w:val="0"/>
        <w:adjustRightInd w:val="0"/>
        <w:rPr>
          <w:rFonts w:ascii="Arial" w:hAnsi="Arial" w:cs="Arial"/>
          <w:b/>
          <w:i/>
          <w:u w:val="single"/>
        </w:rPr>
      </w:pPr>
      <w:r w:rsidRPr="00334F9E">
        <w:rPr>
          <w:rFonts w:ascii="Arial" w:hAnsi="Arial" w:cs="Arial"/>
          <w:b/>
          <w:u w:val="single"/>
        </w:rPr>
        <w:t xml:space="preserve">***Section </w:t>
      </w:r>
      <w:r w:rsidR="00543CDB" w:rsidRPr="00334F9E">
        <w:rPr>
          <w:rFonts w:ascii="Arial" w:hAnsi="Arial" w:cs="Arial"/>
          <w:b/>
          <w:u w:val="single"/>
        </w:rPr>
        <w:t>C</w:t>
      </w:r>
      <w:r w:rsidRPr="00334F9E">
        <w:rPr>
          <w:rFonts w:ascii="Arial" w:hAnsi="Arial" w:cs="Arial"/>
          <w:b/>
          <w:u w:val="single"/>
        </w:rPr>
        <w:t xml:space="preserve">405.2.10 </w:t>
      </w:r>
      <w:r w:rsidR="00636561" w:rsidRPr="00334F9E">
        <w:rPr>
          <w:rFonts w:ascii="Arial" w:hAnsi="Arial" w:cs="Arial"/>
          <w:b/>
          <w:u w:val="single"/>
        </w:rPr>
        <w:t xml:space="preserve">Sleeping unit and </w:t>
      </w:r>
      <w:r w:rsidR="0029787F" w:rsidRPr="00334F9E">
        <w:rPr>
          <w:rFonts w:ascii="Arial" w:hAnsi="Arial" w:cs="Arial"/>
          <w:b/>
          <w:u w:val="single"/>
        </w:rPr>
        <w:t>dwelling</w:t>
      </w:r>
      <w:r w:rsidR="00636561" w:rsidRPr="00334F9E">
        <w:rPr>
          <w:rFonts w:ascii="Arial" w:hAnsi="Arial" w:cs="Arial"/>
          <w:b/>
          <w:u w:val="single"/>
        </w:rPr>
        <w:t xml:space="preserve"> unit lighting and switched receptacle controls</w:t>
      </w:r>
      <w:r w:rsidRPr="00334F9E">
        <w:rPr>
          <w:rFonts w:ascii="Arial" w:hAnsi="Arial" w:cs="Arial"/>
          <w:b/>
          <w:u w:val="single"/>
        </w:rPr>
        <w:t xml:space="preserve">; </w:t>
      </w:r>
      <w:r w:rsidRPr="00334F9E">
        <w:rPr>
          <w:rFonts w:ascii="Arial" w:hAnsi="Arial" w:cs="Arial"/>
          <w:b/>
          <w:i/>
          <w:u w:val="single"/>
        </w:rPr>
        <w:t>deleted in its entirety.</w:t>
      </w:r>
    </w:p>
    <w:p w14:paraId="6BBA2465" w14:textId="77777777" w:rsidR="001A705B" w:rsidRPr="00334F9E" w:rsidRDefault="001A705B" w:rsidP="001A705B">
      <w:pPr>
        <w:autoSpaceDE w:val="0"/>
        <w:autoSpaceDN w:val="0"/>
        <w:adjustRightInd w:val="0"/>
        <w:rPr>
          <w:rFonts w:ascii="Arial" w:hAnsi="Arial" w:cs="Arial"/>
          <w:b/>
          <w:u w:val="single"/>
        </w:rPr>
      </w:pPr>
    </w:p>
    <w:p w14:paraId="5F133279" w14:textId="554FD010" w:rsidR="001A705B" w:rsidRPr="00334F9E" w:rsidRDefault="001A705B" w:rsidP="001A705B">
      <w:pPr>
        <w:jc w:val="both"/>
        <w:rPr>
          <w:rFonts w:ascii="Arial" w:hAnsi="Arial" w:cs="Arial"/>
          <w:bCs/>
          <w:i/>
          <w:iCs/>
          <w:u w:val="single"/>
        </w:rPr>
      </w:pPr>
      <w:r w:rsidRPr="00334F9E">
        <w:rPr>
          <w:rFonts w:ascii="Arial" w:hAnsi="Arial" w:cs="Arial"/>
          <w:bCs/>
          <w:i/>
          <w:iCs/>
          <w:u w:val="single"/>
        </w:rPr>
        <w:t xml:space="preserve">(Reason: </w:t>
      </w:r>
      <w:r w:rsidR="00075E5A" w:rsidRPr="00334F9E">
        <w:rPr>
          <w:rFonts w:ascii="Arial" w:hAnsi="Arial" w:cs="Arial"/>
          <w:bCs/>
          <w:i/>
          <w:iCs/>
          <w:u w:val="single"/>
        </w:rPr>
        <w:t>The requirement for automatic shutoff and switched receptacle controls in sleeping and dwelling units imposes an unnecessary restriction on personal living spaces, where lighting use should be a matter of individual preference rather than mandated control.)</w:t>
      </w:r>
    </w:p>
    <w:p w14:paraId="5EAB9375" w14:textId="77777777" w:rsidR="002F24EA" w:rsidRPr="00334F9E" w:rsidRDefault="002F24EA" w:rsidP="002F24EA">
      <w:pPr>
        <w:shd w:val="clear" w:color="auto" w:fill="A0A0A0"/>
        <w:jc w:val="both"/>
        <w:rPr>
          <w:rFonts w:ascii="Arial" w:hAnsi="Arial" w:cs="Arial"/>
          <w:b/>
        </w:rPr>
      </w:pPr>
      <w:bookmarkStart w:id="2" w:name="_Hlk190075360"/>
    </w:p>
    <w:p w14:paraId="3432C74D" w14:textId="77777777" w:rsidR="002F24EA" w:rsidRPr="00334F9E" w:rsidRDefault="002F24EA" w:rsidP="002F24EA">
      <w:pPr>
        <w:autoSpaceDE w:val="0"/>
        <w:autoSpaceDN w:val="0"/>
        <w:adjustRightInd w:val="0"/>
        <w:rPr>
          <w:rFonts w:ascii="Arial" w:hAnsi="Arial" w:cs="Arial"/>
          <w:b/>
          <w:u w:val="single"/>
        </w:rPr>
      </w:pPr>
      <w:r w:rsidRPr="00334F9E">
        <w:rPr>
          <w:rFonts w:ascii="Arial" w:hAnsi="Arial" w:cs="Arial"/>
          <w:b/>
          <w:u w:val="single"/>
        </w:rPr>
        <w:t>***Section R105.2.2 Solar Ready System; deleted in entirety.</w:t>
      </w:r>
    </w:p>
    <w:p w14:paraId="283D007E" w14:textId="77777777" w:rsidR="002F24EA" w:rsidRPr="00334F9E" w:rsidRDefault="002F24EA" w:rsidP="002F24EA">
      <w:pPr>
        <w:autoSpaceDE w:val="0"/>
        <w:autoSpaceDN w:val="0"/>
        <w:adjustRightInd w:val="0"/>
        <w:rPr>
          <w:rFonts w:ascii="Arial" w:hAnsi="Arial" w:cs="Arial"/>
          <w:b/>
          <w:u w:val="single"/>
        </w:rPr>
      </w:pPr>
    </w:p>
    <w:p w14:paraId="4748A0CA" w14:textId="7BEBFB98" w:rsidR="002F24EA" w:rsidRPr="00334F9E" w:rsidRDefault="002F24EA" w:rsidP="002F24EA">
      <w:pPr>
        <w:jc w:val="both"/>
        <w:rPr>
          <w:rFonts w:ascii="Arial" w:hAnsi="Arial" w:cs="Arial"/>
          <w:bCs/>
          <w:i/>
          <w:iCs/>
          <w:u w:val="single"/>
        </w:rPr>
      </w:pPr>
      <w:r w:rsidRPr="00334F9E">
        <w:rPr>
          <w:rFonts w:ascii="Arial" w:hAnsi="Arial" w:cs="Arial"/>
          <w:bCs/>
          <w:i/>
          <w:iCs/>
          <w:u w:val="single"/>
        </w:rPr>
        <w:t>(Reason: Removes ambiguity if Solar Ready provisions are not adopted).</w:t>
      </w:r>
    </w:p>
    <w:bookmarkEnd w:id="2"/>
    <w:p w14:paraId="2932DF48" w14:textId="77777777" w:rsidR="002F24EA" w:rsidRPr="00334F9E" w:rsidRDefault="002F24EA" w:rsidP="002F24EA">
      <w:pPr>
        <w:shd w:val="clear" w:color="auto" w:fill="A0A0A0"/>
        <w:jc w:val="both"/>
        <w:rPr>
          <w:rFonts w:ascii="Arial" w:hAnsi="Arial" w:cs="Arial"/>
          <w:b/>
        </w:rPr>
      </w:pPr>
    </w:p>
    <w:p w14:paraId="4CD1B60A" w14:textId="16CB3F1E" w:rsidR="002F24EA" w:rsidRPr="00334F9E" w:rsidRDefault="002F24EA" w:rsidP="002F24EA">
      <w:pPr>
        <w:autoSpaceDE w:val="0"/>
        <w:autoSpaceDN w:val="0"/>
        <w:adjustRightInd w:val="0"/>
        <w:rPr>
          <w:rFonts w:ascii="Arial" w:hAnsi="Arial" w:cs="Arial"/>
          <w:b/>
          <w:u w:val="single"/>
        </w:rPr>
      </w:pPr>
      <w:r w:rsidRPr="00334F9E">
        <w:rPr>
          <w:rFonts w:ascii="Arial" w:hAnsi="Arial" w:cs="Arial"/>
          <w:b/>
          <w:u w:val="single"/>
        </w:rPr>
        <w:t xml:space="preserve">***Section R106.3 Permit Valuation; deleted in entirety. </w:t>
      </w:r>
    </w:p>
    <w:p w14:paraId="7F65E50E" w14:textId="77777777" w:rsidR="002F24EA" w:rsidRPr="00334F9E" w:rsidRDefault="002F24EA" w:rsidP="002F24EA">
      <w:pPr>
        <w:autoSpaceDE w:val="0"/>
        <w:autoSpaceDN w:val="0"/>
        <w:adjustRightInd w:val="0"/>
        <w:rPr>
          <w:rFonts w:ascii="Arial" w:hAnsi="Arial" w:cs="Arial"/>
          <w:b/>
          <w:u w:val="single"/>
        </w:rPr>
      </w:pPr>
    </w:p>
    <w:p w14:paraId="451183E6" w14:textId="1C472172" w:rsidR="002F24EA" w:rsidRPr="00334F9E" w:rsidRDefault="002F24EA" w:rsidP="002F24EA">
      <w:pPr>
        <w:autoSpaceDE w:val="0"/>
        <w:autoSpaceDN w:val="0"/>
        <w:adjustRightInd w:val="0"/>
        <w:rPr>
          <w:rFonts w:ascii="Arial" w:hAnsi="Arial" w:cs="Arial"/>
          <w:b/>
          <w:u w:val="single"/>
        </w:rPr>
      </w:pPr>
      <w:r w:rsidRPr="00334F9E">
        <w:rPr>
          <w:rFonts w:ascii="Arial" w:hAnsi="Arial" w:cs="Arial"/>
          <w:b/>
          <w:u w:val="single"/>
        </w:rPr>
        <w:t>(Reason: R106.3 no longer applies due to conflict with HB852, 86th Regular Session).</w:t>
      </w:r>
    </w:p>
    <w:p w14:paraId="161A261B" w14:textId="77777777" w:rsidR="00A20262" w:rsidRPr="00334F9E" w:rsidRDefault="00A20262" w:rsidP="00A20262">
      <w:pPr>
        <w:shd w:val="clear" w:color="auto" w:fill="A0A0A0"/>
        <w:jc w:val="both"/>
        <w:rPr>
          <w:rFonts w:ascii="Arial" w:hAnsi="Arial" w:cs="Arial"/>
          <w:b/>
        </w:rPr>
      </w:pPr>
    </w:p>
    <w:p w14:paraId="0434A3D7" w14:textId="77777777" w:rsidR="004977DA" w:rsidRPr="00334F9E" w:rsidRDefault="00DC04BC" w:rsidP="00145F36">
      <w:pPr>
        <w:jc w:val="both"/>
        <w:rPr>
          <w:rFonts w:ascii="Arial" w:hAnsi="Arial" w:cs="Arial"/>
          <w:b/>
          <w:i/>
        </w:rPr>
      </w:pPr>
      <w:r w:rsidRPr="00334F9E">
        <w:rPr>
          <w:rFonts w:ascii="Arial" w:hAnsi="Arial" w:cs="Arial"/>
          <w:b/>
        </w:rPr>
        <w:t>Section R202</w:t>
      </w:r>
      <w:r w:rsidR="00115E92" w:rsidRPr="00334F9E">
        <w:rPr>
          <w:rFonts w:ascii="Arial" w:hAnsi="Arial" w:cs="Arial"/>
          <w:b/>
        </w:rPr>
        <w:t xml:space="preserve"> (N1101.6)</w:t>
      </w:r>
      <w:r w:rsidR="006800D1" w:rsidRPr="00334F9E">
        <w:rPr>
          <w:rFonts w:ascii="Arial" w:hAnsi="Arial" w:cs="Arial"/>
          <w:b/>
        </w:rPr>
        <w:t xml:space="preserve"> Definitions</w:t>
      </w:r>
      <w:r w:rsidRPr="00334F9E">
        <w:rPr>
          <w:rFonts w:ascii="Arial" w:hAnsi="Arial" w:cs="Arial"/>
          <w:b/>
        </w:rPr>
        <w:t xml:space="preserve">; </w:t>
      </w:r>
      <w:r w:rsidRPr="00334F9E">
        <w:rPr>
          <w:rFonts w:ascii="Arial" w:hAnsi="Arial" w:cs="Arial"/>
          <w:b/>
          <w:i/>
        </w:rPr>
        <w:t>add the following definition:</w:t>
      </w:r>
    </w:p>
    <w:p w14:paraId="727E3443" w14:textId="77777777" w:rsidR="00DC04BC" w:rsidRPr="00334F9E" w:rsidRDefault="00DC04BC" w:rsidP="00145F36">
      <w:pPr>
        <w:jc w:val="both"/>
        <w:rPr>
          <w:rFonts w:ascii="Arial" w:hAnsi="Arial" w:cs="Arial"/>
          <w:i/>
          <w:highlight w:val="yellow"/>
        </w:rPr>
      </w:pPr>
    </w:p>
    <w:p w14:paraId="6EA7E147" w14:textId="28CF66AE" w:rsidR="004977DA" w:rsidRPr="00334F9E" w:rsidRDefault="004977DA" w:rsidP="00145F36">
      <w:pPr>
        <w:jc w:val="both"/>
        <w:rPr>
          <w:rFonts w:ascii="Arial" w:hAnsi="Arial" w:cs="Arial"/>
        </w:rPr>
      </w:pPr>
      <w:r w:rsidRPr="00334F9E">
        <w:rPr>
          <w:rFonts w:ascii="Arial" w:hAnsi="Arial" w:cs="Arial"/>
        </w:rPr>
        <w:t>**</w:t>
      </w:r>
      <w:r w:rsidRPr="00334F9E">
        <w:rPr>
          <w:rFonts w:ascii="Arial" w:hAnsi="Arial" w:cs="Arial"/>
          <w:b/>
        </w:rPr>
        <w:t xml:space="preserve">DYNAMIC GLAZING. </w:t>
      </w:r>
      <w:r w:rsidR="00DC04BC" w:rsidRPr="00334F9E">
        <w:rPr>
          <w:rFonts w:ascii="Arial" w:hAnsi="Arial" w:cs="Arial"/>
        </w:rPr>
        <w:t xml:space="preserve">Any fenestration product that has the fully reversible ability to change </w:t>
      </w:r>
      <w:r w:rsidR="003B0611">
        <w:rPr>
          <w:rFonts w:ascii="Arial" w:hAnsi="Arial" w:cs="Arial"/>
        </w:rPr>
        <w:t xml:space="preserve">its </w:t>
      </w:r>
      <w:r w:rsidR="00DC04BC" w:rsidRPr="00334F9E">
        <w:rPr>
          <w:rFonts w:ascii="Arial" w:hAnsi="Arial" w:cs="Arial"/>
        </w:rPr>
        <w:t xml:space="preserve">performance properties, including </w:t>
      </w:r>
      <w:r w:rsidR="00DC04BC" w:rsidRPr="00334F9E">
        <w:rPr>
          <w:rFonts w:ascii="Arial" w:hAnsi="Arial" w:cs="Arial"/>
          <w:i/>
        </w:rPr>
        <w:t>U-</w:t>
      </w:r>
      <w:r w:rsidR="00DC04BC" w:rsidRPr="00334F9E">
        <w:rPr>
          <w:rFonts w:ascii="Arial" w:hAnsi="Arial" w:cs="Arial"/>
        </w:rPr>
        <w:t>factor, solar heat gain coefficient (SHGC), or visible transmittance (VT).</w:t>
      </w:r>
    </w:p>
    <w:p w14:paraId="397A5336" w14:textId="77777777" w:rsidR="00591A53" w:rsidRPr="00334F9E" w:rsidRDefault="00591A53" w:rsidP="00145F36">
      <w:pPr>
        <w:jc w:val="both"/>
        <w:rPr>
          <w:rFonts w:ascii="Arial" w:hAnsi="Arial" w:cs="Arial"/>
        </w:rPr>
      </w:pPr>
    </w:p>
    <w:p w14:paraId="24D7002E" w14:textId="6563F37F" w:rsidR="000D356A" w:rsidRPr="00334F9E" w:rsidRDefault="00591A53" w:rsidP="000D356A">
      <w:pPr>
        <w:jc w:val="both"/>
        <w:rPr>
          <w:rFonts w:ascii="Arial" w:hAnsi="Arial" w:cs="Arial"/>
          <w:i/>
        </w:rPr>
      </w:pPr>
      <w:r w:rsidRPr="00334F9E">
        <w:rPr>
          <w:rFonts w:ascii="Arial" w:hAnsi="Arial" w:cs="Arial"/>
          <w:i/>
        </w:rPr>
        <w:t>(Reason</w:t>
      </w:r>
      <w:r w:rsidR="00F10CC8" w:rsidRPr="00334F9E">
        <w:rPr>
          <w:rFonts w:ascii="Arial" w:hAnsi="Arial" w:cs="Arial"/>
          <w:i/>
        </w:rPr>
        <w:t>: This</w:t>
      </w:r>
      <w:r w:rsidRPr="00334F9E">
        <w:rPr>
          <w:rFonts w:ascii="Arial" w:hAnsi="Arial" w:cs="Arial"/>
          <w:i/>
        </w:rPr>
        <w:t xml:space="preserve"> term is referenced in Section R402.</w:t>
      </w:r>
      <w:r w:rsidR="00F21072" w:rsidRPr="00334F9E">
        <w:rPr>
          <w:rFonts w:ascii="Arial" w:hAnsi="Arial" w:cs="Arial"/>
          <w:i/>
        </w:rPr>
        <w:t>4</w:t>
      </w:r>
      <w:r w:rsidRPr="00334F9E">
        <w:rPr>
          <w:rFonts w:ascii="Arial" w:hAnsi="Arial" w:cs="Arial"/>
          <w:i/>
        </w:rPr>
        <w:t>.2.  This definition of DY</w:t>
      </w:r>
      <w:r w:rsidR="00707249">
        <w:rPr>
          <w:rFonts w:ascii="Arial" w:hAnsi="Arial" w:cs="Arial"/>
          <w:i/>
        </w:rPr>
        <w:t>NAM</w:t>
      </w:r>
      <w:r w:rsidRPr="00334F9E">
        <w:rPr>
          <w:rFonts w:ascii="Arial" w:hAnsi="Arial" w:cs="Arial"/>
          <w:i/>
        </w:rPr>
        <w:t>IC GLAZING is also found in the Commercial provisions of the code.)</w:t>
      </w:r>
    </w:p>
    <w:p w14:paraId="069D1AB6" w14:textId="77777777" w:rsidR="002F24EA" w:rsidRPr="00334F9E" w:rsidRDefault="002F24EA" w:rsidP="000D356A">
      <w:pPr>
        <w:jc w:val="both"/>
        <w:rPr>
          <w:rFonts w:ascii="Arial" w:hAnsi="Arial" w:cs="Arial"/>
          <w:i/>
        </w:rPr>
      </w:pPr>
    </w:p>
    <w:p w14:paraId="6883414D" w14:textId="77777777" w:rsidR="002F24EA" w:rsidRPr="00334F9E" w:rsidRDefault="002F24EA" w:rsidP="002F24EA">
      <w:pPr>
        <w:shd w:val="clear" w:color="auto" w:fill="A0A0A0"/>
        <w:jc w:val="both"/>
        <w:rPr>
          <w:rFonts w:ascii="Arial" w:hAnsi="Arial" w:cs="Arial"/>
          <w:b/>
        </w:rPr>
      </w:pPr>
      <w:bookmarkStart w:id="3" w:name="_Hlk190075687"/>
    </w:p>
    <w:p w14:paraId="26ADFE85" w14:textId="69F5F29A" w:rsidR="002F24EA" w:rsidRPr="00334F9E" w:rsidRDefault="002F24EA" w:rsidP="002F24EA">
      <w:pPr>
        <w:jc w:val="both"/>
        <w:rPr>
          <w:rFonts w:ascii="Arial" w:hAnsi="Arial" w:cs="Arial"/>
          <w:b/>
          <w:i/>
        </w:rPr>
      </w:pPr>
      <w:r w:rsidRPr="00334F9E">
        <w:rPr>
          <w:rFonts w:ascii="Arial" w:hAnsi="Arial" w:cs="Arial"/>
          <w:b/>
          <w:i/>
        </w:rPr>
        <w:t xml:space="preserve">*** Section R401.2.1 Prescriptive Compliance Option; deleted reference to R408. </w:t>
      </w:r>
    </w:p>
    <w:p w14:paraId="24307B5C" w14:textId="77777777" w:rsidR="002F24EA" w:rsidRPr="00334F9E" w:rsidRDefault="002F24EA" w:rsidP="002F24EA">
      <w:pPr>
        <w:jc w:val="both"/>
        <w:rPr>
          <w:rFonts w:ascii="Arial" w:hAnsi="Arial" w:cs="Arial"/>
          <w:b/>
          <w:i/>
        </w:rPr>
      </w:pPr>
    </w:p>
    <w:p w14:paraId="6FFECBD2" w14:textId="72F9314A" w:rsidR="002F24EA" w:rsidRPr="00334F9E" w:rsidRDefault="002F24EA" w:rsidP="002F24EA">
      <w:pPr>
        <w:jc w:val="both"/>
        <w:rPr>
          <w:rFonts w:ascii="Arial" w:hAnsi="Arial" w:cs="Arial"/>
          <w:b/>
          <w:i/>
        </w:rPr>
      </w:pPr>
      <w:r w:rsidRPr="00334F9E">
        <w:rPr>
          <w:rFonts w:ascii="Arial" w:hAnsi="Arial" w:cs="Arial"/>
          <w:b/>
          <w:i/>
        </w:rPr>
        <w:t>(Reason: Conflicts with HB2439, 86th Regular Session.)</w:t>
      </w:r>
    </w:p>
    <w:p w14:paraId="672EBC13" w14:textId="77777777" w:rsidR="00693E4C" w:rsidRPr="00334F9E" w:rsidRDefault="00693E4C" w:rsidP="00693E4C">
      <w:pPr>
        <w:shd w:val="clear" w:color="auto" w:fill="A0A0A0"/>
        <w:jc w:val="both"/>
        <w:rPr>
          <w:rFonts w:ascii="Arial" w:hAnsi="Arial" w:cs="Arial"/>
          <w:b/>
        </w:rPr>
      </w:pPr>
      <w:bookmarkStart w:id="4" w:name="_Hlk190075597"/>
      <w:bookmarkStart w:id="5" w:name="_Hlk190075565"/>
      <w:bookmarkEnd w:id="3"/>
    </w:p>
    <w:bookmarkEnd w:id="4"/>
    <w:p w14:paraId="0E57BF55" w14:textId="71E58B9C" w:rsidR="00557F9E" w:rsidRPr="00334F9E" w:rsidRDefault="00557F9E" w:rsidP="00557F9E">
      <w:pPr>
        <w:jc w:val="both"/>
        <w:rPr>
          <w:rFonts w:ascii="Arial" w:hAnsi="Arial" w:cs="Arial"/>
          <w:b/>
          <w:i/>
        </w:rPr>
      </w:pPr>
      <w:r w:rsidRPr="00334F9E">
        <w:rPr>
          <w:rFonts w:ascii="Arial" w:hAnsi="Arial" w:cs="Arial"/>
          <w:b/>
          <w:i/>
        </w:rPr>
        <w:t xml:space="preserve">***Section R402.2.10 </w:t>
      </w:r>
      <w:r w:rsidR="00266F2F" w:rsidRPr="00334F9E">
        <w:rPr>
          <w:rFonts w:ascii="Arial" w:hAnsi="Arial" w:cs="Arial"/>
          <w:b/>
          <w:i/>
        </w:rPr>
        <w:t>(</w:t>
      </w:r>
      <w:r w:rsidR="005E5BCC" w:rsidRPr="00334F9E">
        <w:rPr>
          <w:rFonts w:ascii="Arial" w:hAnsi="Arial" w:cs="Arial"/>
          <w:b/>
          <w:i/>
        </w:rPr>
        <w:t xml:space="preserve">N1102.2.10) </w:t>
      </w:r>
      <w:r w:rsidRPr="00334F9E">
        <w:rPr>
          <w:rFonts w:ascii="Arial" w:hAnsi="Arial" w:cs="Arial"/>
          <w:b/>
          <w:i/>
        </w:rPr>
        <w:t>Slab-on-grade floors</w:t>
      </w:r>
      <w:r w:rsidR="00F9449D" w:rsidRPr="00334F9E">
        <w:rPr>
          <w:rFonts w:ascii="Arial" w:hAnsi="Arial" w:cs="Arial"/>
          <w:b/>
          <w:i/>
        </w:rPr>
        <w:t>; amend as follows.</w:t>
      </w:r>
    </w:p>
    <w:p w14:paraId="20810E0F" w14:textId="77777777" w:rsidR="00557F9E" w:rsidRPr="00334F9E" w:rsidRDefault="00557F9E" w:rsidP="002C0A43">
      <w:pPr>
        <w:jc w:val="both"/>
        <w:rPr>
          <w:rFonts w:ascii="Arial" w:hAnsi="Arial" w:cs="Arial"/>
          <w:b/>
          <w:iCs/>
        </w:rPr>
      </w:pPr>
    </w:p>
    <w:p w14:paraId="139F0458" w14:textId="77777777" w:rsidR="002C0A43" w:rsidRPr="00334F9E" w:rsidRDefault="002C0A43" w:rsidP="00075E5A">
      <w:pPr>
        <w:jc w:val="both"/>
        <w:rPr>
          <w:rFonts w:ascii="Arial" w:hAnsi="Arial" w:cs="Arial"/>
          <w:bCs/>
          <w:iCs/>
        </w:rPr>
      </w:pPr>
      <w:r w:rsidRPr="00334F9E">
        <w:rPr>
          <w:rFonts w:ascii="Arial" w:hAnsi="Arial" w:cs="Arial"/>
          <w:b/>
          <w:iCs/>
        </w:rPr>
        <w:t xml:space="preserve">Exception: </w:t>
      </w:r>
      <w:r w:rsidRPr="00334F9E">
        <w:rPr>
          <w:rFonts w:ascii="Arial" w:hAnsi="Arial" w:cs="Arial"/>
          <w:bCs/>
          <w:iCs/>
        </w:rPr>
        <w:t xml:space="preserve">Slab-edge insulation is not required in jurisdictions designated by the </w:t>
      </w:r>
      <w:proofErr w:type="gramStart"/>
      <w:r w:rsidRPr="00334F9E">
        <w:rPr>
          <w:rFonts w:ascii="Arial" w:hAnsi="Arial" w:cs="Arial"/>
          <w:bCs/>
          <w:i/>
        </w:rPr>
        <w:t>code official</w:t>
      </w:r>
      <w:proofErr w:type="gramEnd"/>
      <w:r w:rsidRPr="00334F9E">
        <w:rPr>
          <w:rFonts w:ascii="Arial" w:hAnsi="Arial" w:cs="Arial"/>
          <w:bCs/>
          <w:iCs/>
        </w:rPr>
        <w:t xml:space="preserve"> as having a </w:t>
      </w:r>
      <w:r w:rsidRPr="00334F9E">
        <w:rPr>
          <w:rFonts w:ascii="Arial" w:hAnsi="Arial" w:cs="Arial"/>
          <w:bCs/>
          <w:iCs/>
          <w:u w:val="single"/>
        </w:rPr>
        <w:t>moderate to heavy or</w:t>
      </w:r>
      <w:r w:rsidRPr="00334F9E">
        <w:rPr>
          <w:rFonts w:ascii="Arial" w:hAnsi="Arial" w:cs="Arial"/>
          <w:bCs/>
          <w:iCs/>
        </w:rPr>
        <w:t xml:space="preserve"> very heavy termite infestation probability.</w:t>
      </w:r>
    </w:p>
    <w:p w14:paraId="63F1F83D" w14:textId="77777777" w:rsidR="002C0A43" w:rsidRPr="00334F9E" w:rsidRDefault="002C0A43" w:rsidP="002C0A43">
      <w:pPr>
        <w:jc w:val="both"/>
        <w:rPr>
          <w:rFonts w:ascii="Arial" w:hAnsi="Arial" w:cs="Arial"/>
          <w:bCs/>
          <w:iCs/>
        </w:rPr>
      </w:pPr>
    </w:p>
    <w:p w14:paraId="2E07E69E" w14:textId="18D4A710" w:rsidR="002C0A43" w:rsidRPr="00334F9E" w:rsidRDefault="002C0A43" w:rsidP="002C0A43">
      <w:pPr>
        <w:jc w:val="both"/>
        <w:rPr>
          <w:rFonts w:ascii="Arial" w:hAnsi="Arial" w:cs="Arial"/>
          <w:i/>
        </w:rPr>
      </w:pPr>
      <w:r w:rsidRPr="00334F9E">
        <w:rPr>
          <w:rFonts w:ascii="Arial" w:hAnsi="Arial" w:cs="Arial"/>
          <w:i/>
        </w:rPr>
        <w:t>(Reason:  Termites are an issue of concern throughout the North Central Texas Council of Governments Region which includes areas designated as having a “moderate to heavy” and “very heavy” infestation probability.)</w:t>
      </w:r>
    </w:p>
    <w:bookmarkEnd w:id="5"/>
    <w:p w14:paraId="0867861F" w14:textId="77777777" w:rsidR="002C0A43" w:rsidRPr="00334F9E" w:rsidRDefault="002C0A43" w:rsidP="002C0A43">
      <w:pPr>
        <w:shd w:val="clear" w:color="auto" w:fill="A0A0A0"/>
        <w:jc w:val="both"/>
        <w:rPr>
          <w:rFonts w:ascii="Arial" w:hAnsi="Arial" w:cs="Arial"/>
          <w:b/>
        </w:rPr>
      </w:pPr>
    </w:p>
    <w:p w14:paraId="6ED7627B" w14:textId="2E4C4191" w:rsidR="00F9449D" w:rsidRPr="00334F9E" w:rsidRDefault="00F9449D" w:rsidP="002C0A43">
      <w:pPr>
        <w:jc w:val="both"/>
        <w:rPr>
          <w:rFonts w:ascii="Arial" w:hAnsi="Arial" w:cs="Arial"/>
          <w:b/>
          <w:i/>
        </w:rPr>
      </w:pPr>
      <w:r w:rsidRPr="00334F9E">
        <w:rPr>
          <w:rFonts w:ascii="Arial" w:hAnsi="Arial" w:cs="Arial"/>
          <w:b/>
          <w:i/>
        </w:rPr>
        <w:t>***</w:t>
      </w:r>
      <w:r w:rsidRPr="00334F9E">
        <w:rPr>
          <w:rFonts w:ascii="Arial" w:hAnsi="Arial" w:cs="Arial"/>
          <w:b/>
          <w:iCs/>
        </w:rPr>
        <w:t xml:space="preserve"> Section R402.5.5 </w:t>
      </w:r>
      <w:r w:rsidR="005E5BCC" w:rsidRPr="00334F9E">
        <w:rPr>
          <w:rFonts w:ascii="Arial" w:hAnsi="Arial" w:cs="Arial"/>
          <w:b/>
          <w:iCs/>
        </w:rPr>
        <w:t xml:space="preserve">(N1102.5.5) </w:t>
      </w:r>
      <w:r w:rsidRPr="00334F9E">
        <w:rPr>
          <w:rFonts w:ascii="Arial" w:hAnsi="Arial" w:cs="Arial"/>
          <w:b/>
          <w:iCs/>
        </w:rPr>
        <w:t>Air-sealed electrical and communication outlet boxes</w:t>
      </w:r>
      <w:r w:rsidRPr="00334F9E">
        <w:rPr>
          <w:rFonts w:ascii="Arial" w:hAnsi="Arial" w:cs="Arial"/>
          <w:b/>
          <w:i/>
        </w:rPr>
        <w:t>; amend as follows.</w:t>
      </w:r>
    </w:p>
    <w:p w14:paraId="44E5C65B" w14:textId="77777777" w:rsidR="00F9449D" w:rsidRPr="00334F9E" w:rsidRDefault="00F9449D" w:rsidP="002C0A43">
      <w:pPr>
        <w:jc w:val="both"/>
        <w:rPr>
          <w:rFonts w:ascii="Arial" w:hAnsi="Arial" w:cs="Arial"/>
          <w:b/>
          <w:i/>
        </w:rPr>
      </w:pPr>
    </w:p>
    <w:p w14:paraId="16DC6351" w14:textId="78CA8AB3" w:rsidR="00075E5A" w:rsidRPr="00334F9E" w:rsidRDefault="002C0A43" w:rsidP="00075E5A">
      <w:pPr>
        <w:jc w:val="both"/>
        <w:rPr>
          <w:rFonts w:ascii="Arial" w:hAnsi="Arial" w:cs="Arial"/>
          <w:bCs/>
          <w:iCs/>
        </w:rPr>
      </w:pPr>
      <w:r w:rsidRPr="00334F9E">
        <w:rPr>
          <w:rFonts w:ascii="Arial" w:hAnsi="Arial" w:cs="Arial"/>
          <w:b/>
          <w:iCs/>
        </w:rPr>
        <w:t>Section R402.5.5</w:t>
      </w:r>
      <w:r w:rsidR="003A0B53" w:rsidRPr="00334F9E">
        <w:rPr>
          <w:rFonts w:ascii="Arial" w:hAnsi="Arial" w:cs="Arial"/>
          <w:b/>
          <w:iCs/>
        </w:rPr>
        <w:t xml:space="preserve"> (N1102.5.5)</w:t>
      </w:r>
      <w:r w:rsidRPr="00334F9E">
        <w:rPr>
          <w:rFonts w:ascii="Arial" w:hAnsi="Arial" w:cs="Arial"/>
          <w:b/>
          <w:iCs/>
        </w:rPr>
        <w:t xml:space="preserve"> Air-sealed electrical and communication outlet boxes.  </w:t>
      </w:r>
      <w:r w:rsidR="00075E5A" w:rsidRPr="00334F9E">
        <w:rPr>
          <w:rFonts w:ascii="Arial" w:hAnsi="Arial" w:cs="Arial"/>
          <w:bCs/>
          <w:iCs/>
        </w:rPr>
        <w:t xml:space="preserve">Air-sealed electrical and communication outlet boxes that penetrated </w:t>
      </w:r>
      <w:proofErr w:type="gramStart"/>
      <w:r w:rsidR="00075E5A" w:rsidRPr="00334F9E">
        <w:rPr>
          <w:rFonts w:ascii="Arial" w:hAnsi="Arial" w:cs="Arial"/>
          <w:bCs/>
          <w:iCs/>
        </w:rPr>
        <w:t>the  </w:t>
      </w:r>
      <w:r w:rsidR="00075E5A" w:rsidRPr="00334F9E">
        <w:rPr>
          <w:rFonts w:ascii="Arial" w:hAnsi="Arial" w:cs="Arial"/>
          <w:bCs/>
          <w:i/>
          <w:iCs/>
        </w:rPr>
        <w:t>air</w:t>
      </w:r>
      <w:proofErr w:type="gramEnd"/>
      <w:r w:rsidR="00075E5A" w:rsidRPr="00334F9E">
        <w:rPr>
          <w:rFonts w:ascii="Arial" w:hAnsi="Arial" w:cs="Arial"/>
          <w:bCs/>
          <w:i/>
          <w:iCs/>
        </w:rPr>
        <w:t xml:space="preserve"> barrier</w:t>
      </w:r>
      <w:r w:rsidR="00075E5A" w:rsidRPr="00334F9E">
        <w:rPr>
          <w:rFonts w:ascii="Arial" w:hAnsi="Arial" w:cs="Arial"/>
          <w:bCs/>
          <w:iCs/>
        </w:rPr>
        <w:t> of the </w:t>
      </w:r>
      <w:r w:rsidR="00075E5A" w:rsidRPr="00334F9E">
        <w:rPr>
          <w:rFonts w:ascii="Arial" w:hAnsi="Arial" w:cs="Arial"/>
          <w:bCs/>
          <w:i/>
          <w:iCs/>
        </w:rPr>
        <w:t>building thermal envelope</w:t>
      </w:r>
      <w:r w:rsidR="00075E5A" w:rsidRPr="00334F9E">
        <w:rPr>
          <w:rFonts w:ascii="Arial" w:hAnsi="Arial" w:cs="Arial"/>
          <w:bCs/>
          <w:iCs/>
        </w:rPr>
        <w:t> shall be caulked, taped, gasketed or otherwise sealed to the </w:t>
      </w:r>
      <w:r w:rsidR="00075E5A" w:rsidRPr="00334F9E">
        <w:rPr>
          <w:rFonts w:ascii="Arial" w:hAnsi="Arial" w:cs="Arial"/>
          <w:bCs/>
          <w:i/>
          <w:iCs/>
        </w:rPr>
        <w:t>air barrier</w:t>
      </w:r>
      <w:r w:rsidR="00075E5A" w:rsidRPr="00334F9E">
        <w:rPr>
          <w:rFonts w:ascii="Arial" w:hAnsi="Arial" w:cs="Arial"/>
          <w:bCs/>
          <w:iCs/>
        </w:rPr>
        <w:t> element being penetrated. Air-sealed boxes shall be buried in or surrounded by insulation.</w:t>
      </w:r>
      <w:r w:rsidR="00F10CC8">
        <w:rPr>
          <w:rFonts w:ascii="Arial" w:hAnsi="Arial" w:cs="Arial"/>
          <w:bCs/>
          <w:iCs/>
        </w:rPr>
        <w:t xml:space="preserve"> </w:t>
      </w:r>
      <w:r w:rsidR="00075E5A" w:rsidRPr="00F10CC8">
        <w:rPr>
          <w:rFonts w:ascii="Arial" w:hAnsi="Arial" w:cs="Arial"/>
          <w:bCs/>
          <w:iCs/>
        </w:rPr>
        <w:t>A</w:t>
      </w:r>
      <w:r w:rsidR="00075E5A" w:rsidRPr="00334F9E">
        <w:rPr>
          <w:rFonts w:ascii="Arial" w:hAnsi="Arial" w:cs="Arial"/>
          <w:bCs/>
          <w:iCs/>
        </w:rPr>
        <w:t>ir-sealed boxes shall be tested and marked in accordance with NEMA OS 4. Air-sealed boxes shall be installed in accordance with the manufacturer’s instructions.</w:t>
      </w:r>
    </w:p>
    <w:p w14:paraId="1FDACF8D" w14:textId="157696C3" w:rsidR="00075E5A" w:rsidRPr="00334F9E" w:rsidRDefault="00075E5A" w:rsidP="00075E5A">
      <w:pPr>
        <w:jc w:val="both"/>
        <w:rPr>
          <w:rFonts w:ascii="Arial" w:hAnsi="Arial" w:cs="Arial"/>
          <w:bCs/>
          <w:iCs/>
        </w:rPr>
      </w:pPr>
      <w:r w:rsidRPr="00334F9E">
        <w:rPr>
          <w:rFonts w:ascii="Arial" w:hAnsi="Arial" w:cs="Arial"/>
          <w:b/>
          <w:bCs/>
          <w:iCs/>
          <w:u w:val="single"/>
        </w:rPr>
        <w:t>Exception: </w:t>
      </w:r>
      <w:r w:rsidRPr="00334F9E">
        <w:rPr>
          <w:rFonts w:ascii="Arial" w:hAnsi="Arial" w:cs="Arial"/>
          <w:bCs/>
          <w:iCs/>
          <w:u w:val="single"/>
        </w:rPr>
        <w:t xml:space="preserve">Boxes may be air-sealed in the field using caulk, tape, gasket or other approved method to prevent air leakage through the box in lieu of NEMA OS 4 boxes.  Boxes air-sealed in the field shall be sealed to the air barrier element being penetrated and installed in accordance with manufacturer's </w:t>
      </w:r>
      <w:r w:rsidRPr="00F10CC8">
        <w:rPr>
          <w:rFonts w:ascii="Arial" w:hAnsi="Arial" w:cs="Arial"/>
          <w:bCs/>
          <w:iCs/>
          <w:u w:val="single"/>
        </w:rPr>
        <w:t>instructions</w:t>
      </w:r>
    </w:p>
    <w:p w14:paraId="607F6DAA" w14:textId="77777777" w:rsidR="002C0A43" w:rsidRPr="00334F9E" w:rsidRDefault="002C0A43" w:rsidP="002C0A43">
      <w:pPr>
        <w:jc w:val="both"/>
        <w:rPr>
          <w:rFonts w:ascii="Arial" w:hAnsi="Arial" w:cs="Arial"/>
          <w:bCs/>
          <w:iCs/>
        </w:rPr>
      </w:pPr>
    </w:p>
    <w:p w14:paraId="139EEAA7" w14:textId="03811FF8" w:rsidR="002C0A43" w:rsidRPr="00334F9E" w:rsidRDefault="002C0A43" w:rsidP="002C0A43">
      <w:pPr>
        <w:jc w:val="both"/>
        <w:rPr>
          <w:rFonts w:ascii="Arial" w:hAnsi="Arial" w:cs="Arial"/>
          <w:i/>
        </w:rPr>
      </w:pPr>
      <w:r w:rsidRPr="00334F9E">
        <w:rPr>
          <w:rFonts w:ascii="Arial" w:hAnsi="Arial" w:cs="Arial"/>
          <w:i/>
        </w:rPr>
        <w:t xml:space="preserve">(Reason: </w:t>
      </w:r>
      <w:r w:rsidR="00E379A4" w:rsidRPr="00334F9E">
        <w:rPr>
          <w:rFonts w:ascii="Arial" w:hAnsi="Arial" w:cs="Arial"/>
          <w:i/>
        </w:rPr>
        <w:t>Amended to</w:t>
      </w:r>
      <w:r w:rsidR="006C4D0C" w:rsidRPr="00334F9E">
        <w:rPr>
          <w:rFonts w:ascii="Arial" w:hAnsi="Arial" w:cs="Arial"/>
          <w:i/>
        </w:rPr>
        <w:t xml:space="preserve"> allow on-site air-sealing </w:t>
      </w:r>
      <w:r w:rsidR="00773AF4" w:rsidRPr="00334F9E">
        <w:rPr>
          <w:rFonts w:ascii="Arial" w:hAnsi="Arial" w:cs="Arial"/>
          <w:i/>
        </w:rPr>
        <w:t xml:space="preserve">of electrical and communication boxes </w:t>
      </w:r>
      <w:proofErr w:type="gramStart"/>
      <w:r w:rsidR="00773AF4" w:rsidRPr="00334F9E">
        <w:rPr>
          <w:rFonts w:ascii="Arial" w:hAnsi="Arial" w:cs="Arial"/>
          <w:i/>
        </w:rPr>
        <w:t>in order to</w:t>
      </w:r>
      <w:proofErr w:type="gramEnd"/>
      <w:r w:rsidR="00E379A4" w:rsidRPr="00334F9E">
        <w:rPr>
          <w:rFonts w:ascii="Arial" w:hAnsi="Arial" w:cs="Arial"/>
          <w:i/>
        </w:rPr>
        <w:t xml:space="preserve"> meet current building techniques, market conditions and product availability</w:t>
      </w:r>
      <w:r w:rsidR="00773AF4" w:rsidRPr="00334F9E">
        <w:rPr>
          <w:rFonts w:ascii="Arial" w:hAnsi="Arial" w:cs="Arial"/>
          <w:i/>
        </w:rPr>
        <w:t>.</w:t>
      </w:r>
      <w:r w:rsidRPr="00334F9E">
        <w:rPr>
          <w:rFonts w:ascii="Arial" w:hAnsi="Arial" w:cs="Arial"/>
          <w:i/>
        </w:rPr>
        <w:t>)</w:t>
      </w:r>
    </w:p>
    <w:p w14:paraId="529CBE9E" w14:textId="77777777" w:rsidR="002C0A43" w:rsidRPr="00334F9E" w:rsidRDefault="002C0A43" w:rsidP="002C0A43">
      <w:pPr>
        <w:shd w:val="clear" w:color="auto" w:fill="A0A0A0"/>
        <w:jc w:val="both"/>
        <w:rPr>
          <w:rFonts w:ascii="Arial" w:hAnsi="Arial" w:cs="Arial"/>
          <w:b/>
        </w:rPr>
      </w:pPr>
    </w:p>
    <w:p w14:paraId="06F21D2B" w14:textId="65FFA9F7" w:rsidR="00525F08" w:rsidRPr="00334F9E" w:rsidRDefault="00525F08" w:rsidP="00525F08">
      <w:pPr>
        <w:jc w:val="both"/>
        <w:rPr>
          <w:rFonts w:ascii="Arial" w:hAnsi="Arial" w:cs="Arial"/>
          <w:b/>
          <w:i/>
        </w:rPr>
      </w:pPr>
      <w:r w:rsidRPr="00334F9E">
        <w:rPr>
          <w:rFonts w:ascii="Arial" w:hAnsi="Arial" w:cs="Arial"/>
          <w:b/>
          <w:i/>
        </w:rPr>
        <w:t>***Table 402.1.2</w:t>
      </w:r>
      <w:r w:rsidR="003A0B53" w:rsidRPr="00334F9E">
        <w:rPr>
          <w:rFonts w:ascii="Arial" w:hAnsi="Arial" w:cs="Arial"/>
          <w:b/>
          <w:i/>
        </w:rPr>
        <w:t xml:space="preserve"> (1102.1.2)</w:t>
      </w:r>
      <w:r w:rsidRPr="00334F9E">
        <w:rPr>
          <w:rFonts w:ascii="Arial" w:hAnsi="Arial" w:cs="Arial"/>
          <w:b/>
          <w:i/>
        </w:rPr>
        <w:t xml:space="preserve"> Maximum Assembly/Climate Zone items</w:t>
      </w:r>
      <w:proofErr w:type="gramStart"/>
      <w:r w:rsidRPr="00334F9E">
        <w:rPr>
          <w:rFonts w:ascii="Arial" w:hAnsi="Arial" w:cs="Arial"/>
          <w:b/>
          <w:i/>
        </w:rPr>
        <w:t>:  amend</w:t>
      </w:r>
      <w:proofErr w:type="gramEnd"/>
      <w:r w:rsidRPr="00334F9E">
        <w:rPr>
          <w:rFonts w:ascii="Arial" w:hAnsi="Arial" w:cs="Arial"/>
          <w:b/>
          <w:i/>
        </w:rPr>
        <w:t xml:space="preserve"> table as follows.</w:t>
      </w:r>
    </w:p>
    <w:p w14:paraId="11559C31" w14:textId="77777777" w:rsidR="00525F08" w:rsidRPr="00334F9E" w:rsidRDefault="00525F08" w:rsidP="00525F08">
      <w:pPr>
        <w:jc w:val="both"/>
        <w:rPr>
          <w:rFonts w:ascii="Arial" w:hAnsi="Arial" w:cs="Arial"/>
          <w:b/>
          <w:i/>
          <w:strike/>
          <w:highlight w:val="yellow"/>
        </w:rPr>
      </w:pPr>
    </w:p>
    <w:p w14:paraId="76CC03BF" w14:textId="295AB41D" w:rsidR="006E5CB0" w:rsidRPr="00334F9E" w:rsidRDefault="00704CF7" w:rsidP="00CD4FC2">
      <w:pPr>
        <w:spacing w:after="46" w:line="265" w:lineRule="auto"/>
        <w:ind w:left="-5"/>
        <w:rPr>
          <w:rFonts w:ascii="Arial" w:hAnsi="Arial" w:cs="Arial"/>
          <w:b/>
          <w:iCs/>
        </w:rPr>
      </w:pPr>
      <w:r w:rsidRPr="00334F9E">
        <w:rPr>
          <w:rFonts w:ascii="Arial" w:hAnsi="Arial" w:cs="Arial"/>
          <w:b/>
          <w:iCs/>
        </w:rPr>
        <w:t>TABLE R402.1.2</w:t>
      </w:r>
      <w:r w:rsidR="00D3129E" w:rsidRPr="00334F9E">
        <w:rPr>
          <w:rFonts w:ascii="Arial" w:hAnsi="Arial" w:cs="Arial"/>
          <w:b/>
          <w:iCs/>
        </w:rPr>
        <w:t xml:space="preserve"> (N1102.1.2)</w:t>
      </w:r>
      <w:r w:rsidRPr="00334F9E">
        <w:rPr>
          <w:rFonts w:ascii="Arial" w:hAnsi="Arial" w:cs="Arial"/>
          <w:b/>
          <w:iCs/>
        </w:rPr>
        <w:t xml:space="preserve"> </w:t>
      </w:r>
      <w:r w:rsidR="00985E0B" w:rsidRPr="00334F9E">
        <w:rPr>
          <w:rFonts w:ascii="Arial" w:hAnsi="Arial" w:cs="Arial"/>
          <w:b/>
          <w:iCs/>
        </w:rPr>
        <w:t xml:space="preserve">- </w:t>
      </w:r>
      <w:r w:rsidRPr="00334F9E">
        <w:rPr>
          <w:rFonts w:ascii="Arial" w:hAnsi="Arial" w:cs="Arial"/>
          <w:b/>
          <w:iCs/>
        </w:rPr>
        <w:t>MAXIMUM ASSEMBLY U-FACTOR AND FENESTRATION REQUIREMENTS</w:t>
      </w:r>
    </w:p>
    <w:p w14:paraId="23A01597" w14:textId="1CB21493" w:rsidR="00CD4FC2" w:rsidRPr="00334F9E" w:rsidRDefault="00CD4FC2" w:rsidP="00CD4FC2">
      <w:pPr>
        <w:spacing w:after="46" w:line="265" w:lineRule="auto"/>
        <w:ind w:left="-5"/>
        <w:rPr>
          <w:rFonts w:ascii="Arial" w:hAnsi="Arial" w:cs="Arial"/>
          <w:bCs/>
          <w:i/>
        </w:rPr>
      </w:pPr>
      <w:r w:rsidRPr="00334F9E">
        <w:rPr>
          <w:rFonts w:ascii="Arial" w:hAnsi="Arial" w:cs="Arial"/>
          <w:bCs/>
          <w:i/>
        </w:rPr>
        <w:t xml:space="preserve">Portions of </w:t>
      </w:r>
      <w:proofErr w:type="gramStart"/>
      <w:r w:rsidRPr="00334F9E">
        <w:rPr>
          <w:rFonts w:ascii="Arial" w:hAnsi="Arial" w:cs="Arial"/>
          <w:bCs/>
          <w:i/>
        </w:rPr>
        <w:t>table</w:t>
      </w:r>
      <w:proofErr w:type="gramEnd"/>
      <w:r w:rsidRPr="00334F9E">
        <w:rPr>
          <w:rFonts w:ascii="Arial" w:hAnsi="Arial" w:cs="Arial"/>
          <w:bCs/>
          <w:i/>
        </w:rPr>
        <w:t xml:space="preserve"> not shown remain unchanged.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104"/>
        <w:gridCol w:w="1945"/>
      </w:tblGrid>
      <w:tr w:rsidR="00334F9E" w:rsidRPr="00334F9E" w14:paraId="308EBBFC" w14:textId="77777777" w:rsidTr="0085696A">
        <w:trPr>
          <w:trHeight w:val="542"/>
        </w:trPr>
        <w:tc>
          <w:tcPr>
            <w:tcW w:w="1766" w:type="dxa"/>
            <w:shd w:val="clear" w:color="auto" w:fill="auto"/>
          </w:tcPr>
          <w:p w14:paraId="218CD7A3" w14:textId="31701985" w:rsidR="00002F55" w:rsidRPr="00334F9E" w:rsidRDefault="002C11FB" w:rsidP="00F87E9E">
            <w:pPr>
              <w:jc w:val="center"/>
              <w:rPr>
                <w:rFonts w:ascii="Arial" w:hAnsi="Arial" w:cs="Arial"/>
                <w:b/>
                <w:i/>
              </w:rPr>
            </w:pPr>
            <w:r w:rsidRPr="00334F9E">
              <w:rPr>
                <w:rFonts w:ascii="Arial" w:hAnsi="Arial" w:cs="Arial"/>
                <w:b/>
                <w:i/>
              </w:rPr>
              <w:t>CLIMATE ZONE</w:t>
            </w:r>
          </w:p>
        </w:tc>
        <w:tc>
          <w:tcPr>
            <w:tcW w:w="2104" w:type="dxa"/>
            <w:shd w:val="clear" w:color="auto" w:fill="auto"/>
          </w:tcPr>
          <w:p w14:paraId="37CA6EEB" w14:textId="6FA5AC67" w:rsidR="00002F55" w:rsidRPr="00334F9E" w:rsidRDefault="00257E68" w:rsidP="00F87E9E">
            <w:pPr>
              <w:jc w:val="center"/>
              <w:rPr>
                <w:rFonts w:ascii="Arial" w:hAnsi="Arial" w:cs="Arial"/>
                <w:b/>
                <w:i/>
              </w:rPr>
            </w:pPr>
            <w:r w:rsidRPr="00334F9E">
              <w:rPr>
                <w:rFonts w:ascii="Arial" w:hAnsi="Arial" w:cs="Arial"/>
                <w:b/>
                <w:i/>
              </w:rPr>
              <w:t>2</w:t>
            </w:r>
          </w:p>
        </w:tc>
        <w:tc>
          <w:tcPr>
            <w:tcW w:w="1945" w:type="dxa"/>
            <w:shd w:val="clear" w:color="auto" w:fill="auto"/>
          </w:tcPr>
          <w:p w14:paraId="7142F3C5" w14:textId="4F8CE123" w:rsidR="00002F55" w:rsidRPr="00334F9E" w:rsidRDefault="00257E68" w:rsidP="00F87E9E">
            <w:pPr>
              <w:jc w:val="center"/>
              <w:rPr>
                <w:rFonts w:ascii="Arial" w:hAnsi="Arial" w:cs="Arial"/>
                <w:b/>
                <w:i/>
              </w:rPr>
            </w:pPr>
            <w:r w:rsidRPr="00334F9E">
              <w:rPr>
                <w:rFonts w:ascii="Arial" w:hAnsi="Arial" w:cs="Arial"/>
                <w:b/>
                <w:i/>
              </w:rPr>
              <w:t>3</w:t>
            </w:r>
          </w:p>
        </w:tc>
      </w:tr>
      <w:tr w:rsidR="00334F9E" w:rsidRPr="00334F9E" w14:paraId="63025BD1" w14:textId="77777777" w:rsidTr="0085696A">
        <w:trPr>
          <w:trHeight w:val="271"/>
        </w:trPr>
        <w:tc>
          <w:tcPr>
            <w:tcW w:w="1766" w:type="dxa"/>
            <w:shd w:val="clear" w:color="auto" w:fill="auto"/>
          </w:tcPr>
          <w:p w14:paraId="6ECE9048" w14:textId="564F19A3" w:rsidR="00002F55" w:rsidRPr="00334F9E" w:rsidRDefault="002C11FB" w:rsidP="0085696A">
            <w:pPr>
              <w:jc w:val="center"/>
              <w:rPr>
                <w:rFonts w:ascii="Arial" w:hAnsi="Arial" w:cs="Arial"/>
                <w:b/>
                <w:i/>
                <w:u w:val="single"/>
              </w:rPr>
            </w:pPr>
            <w:r w:rsidRPr="00334F9E">
              <w:rPr>
                <w:rFonts w:ascii="Arial" w:hAnsi="Arial" w:cs="Arial"/>
                <w:b/>
                <w:i/>
                <w:u w:val="single"/>
              </w:rPr>
              <w:t>Attic Roof</w:t>
            </w:r>
            <w:r w:rsidR="00A83E51" w:rsidRPr="00334F9E">
              <w:rPr>
                <w:rFonts w:ascii="Arial" w:hAnsi="Arial" w:cs="Arial"/>
                <w:b/>
                <w:i/>
                <w:u w:val="single"/>
              </w:rPr>
              <w:t>line</w:t>
            </w:r>
            <w:r w:rsidR="00362560" w:rsidRPr="00334F9E">
              <w:rPr>
                <w:rFonts w:ascii="Arial" w:hAnsi="Arial" w:cs="Arial"/>
                <w:b/>
                <w:i/>
                <w:u w:val="single"/>
              </w:rPr>
              <w:t xml:space="preserve"> U-factor</w:t>
            </w:r>
            <w:r w:rsidR="00EE32F0" w:rsidRPr="00334F9E">
              <w:rPr>
                <w:rFonts w:ascii="Arial" w:hAnsi="Arial" w:cs="Arial"/>
                <w:b/>
                <w:i/>
                <w:u w:val="single"/>
                <w:vertAlign w:val="superscript"/>
              </w:rPr>
              <w:t xml:space="preserve"> f</w:t>
            </w:r>
          </w:p>
        </w:tc>
        <w:tc>
          <w:tcPr>
            <w:tcW w:w="2104" w:type="dxa"/>
            <w:shd w:val="clear" w:color="auto" w:fill="auto"/>
          </w:tcPr>
          <w:p w14:paraId="0581FCEA" w14:textId="59BFD871" w:rsidR="00002F55" w:rsidRPr="00334F9E" w:rsidRDefault="008F1081" w:rsidP="0085696A">
            <w:pPr>
              <w:jc w:val="center"/>
              <w:rPr>
                <w:rFonts w:ascii="Arial" w:hAnsi="Arial" w:cs="Arial"/>
                <w:b/>
                <w:i/>
                <w:u w:val="single"/>
              </w:rPr>
            </w:pPr>
            <w:r w:rsidRPr="00334F9E">
              <w:rPr>
                <w:rFonts w:ascii="Arial" w:hAnsi="Arial" w:cs="Arial"/>
                <w:b/>
                <w:i/>
                <w:u w:val="single"/>
              </w:rPr>
              <w:t>0.0</w:t>
            </w:r>
            <w:r w:rsidR="00B8251E" w:rsidRPr="00334F9E">
              <w:rPr>
                <w:rFonts w:ascii="Arial" w:hAnsi="Arial" w:cs="Arial"/>
                <w:b/>
                <w:i/>
                <w:u w:val="single"/>
              </w:rPr>
              <w:t>3</w:t>
            </w:r>
            <w:r w:rsidR="004127BA" w:rsidRPr="00334F9E">
              <w:rPr>
                <w:rFonts w:ascii="Arial" w:hAnsi="Arial" w:cs="Arial"/>
                <w:b/>
                <w:i/>
                <w:u w:val="single"/>
              </w:rPr>
              <w:t>5</w:t>
            </w:r>
          </w:p>
        </w:tc>
        <w:tc>
          <w:tcPr>
            <w:tcW w:w="1945" w:type="dxa"/>
            <w:shd w:val="clear" w:color="auto" w:fill="auto"/>
          </w:tcPr>
          <w:p w14:paraId="66D06011" w14:textId="25755DB9" w:rsidR="00002F55" w:rsidRPr="00334F9E" w:rsidRDefault="008F1081" w:rsidP="0085696A">
            <w:pPr>
              <w:jc w:val="center"/>
              <w:rPr>
                <w:rFonts w:ascii="Arial" w:hAnsi="Arial" w:cs="Arial"/>
                <w:b/>
                <w:i/>
                <w:u w:val="single"/>
              </w:rPr>
            </w:pPr>
            <w:r w:rsidRPr="00334F9E">
              <w:rPr>
                <w:rFonts w:ascii="Arial" w:hAnsi="Arial" w:cs="Arial"/>
                <w:b/>
                <w:i/>
                <w:u w:val="single"/>
              </w:rPr>
              <w:t>0.0</w:t>
            </w:r>
            <w:r w:rsidR="00B8251E" w:rsidRPr="00334F9E">
              <w:rPr>
                <w:rFonts w:ascii="Arial" w:hAnsi="Arial" w:cs="Arial"/>
                <w:b/>
                <w:i/>
                <w:u w:val="single"/>
              </w:rPr>
              <w:t>3</w:t>
            </w:r>
            <w:r w:rsidR="004127BA" w:rsidRPr="00334F9E">
              <w:rPr>
                <w:rFonts w:ascii="Arial" w:hAnsi="Arial" w:cs="Arial"/>
                <w:b/>
                <w:i/>
                <w:u w:val="single"/>
              </w:rPr>
              <w:t>5</w:t>
            </w:r>
          </w:p>
        </w:tc>
      </w:tr>
    </w:tbl>
    <w:p w14:paraId="1607A406" w14:textId="239013A9" w:rsidR="00EC795A" w:rsidRPr="00F10CC8" w:rsidRDefault="004824E5" w:rsidP="00F10CC8">
      <w:pPr>
        <w:ind w:left="360"/>
        <w:jc w:val="both"/>
        <w:rPr>
          <w:rFonts w:ascii="Arial" w:hAnsi="Arial" w:cs="Arial"/>
          <w:bCs/>
          <w:iCs/>
        </w:rPr>
      </w:pPr>
      <w:r w:rsidRPr="00334F9E">
        <w:rPr>
          <w:rFonts w:ascii="Arial" w:hAnsi="Arial" w:cs="Arial"/>
          <w:bCs/>
          <w:iCs/>
        </w:rPr>
        <w:t xml:space="preserve">f. </w:t>
      </w:r>
      <w:r w:rsidR="00EE32F0" w:rsidRPr="00334F9E">
        <w:rPr>
          <w:rFonts w:ascii="Arial" w:hAnsi="Arial" w:cs="Arial"/>
          <w:bCs/>
          <w:iCs/>
        </w:rPr>
        <w:t xml:space="preserve">Air-impermeable insulation </w:t>
      </w:r>
      <w:r w:rsidR="00A52533" w:rsidRPr="00334F9E">
        <w:rPr>
          <w:rFonts w:ascii="Arial" w:hAnsi="Arial" w:cs="Arial"/>
          <w:bCs/>
          <w:iCs/>
        </w:rPr>
        <w:t xml:space="preserve">located </w:t>
      </w:r>
      <w:r w:rsidR="004B6868" w:rsidRPr="00334F9E">
        <w:rPr>
          <w:rFonts w:ascii="Arial" w:hAnsi="Arial" w:cs="Arial"/>
          <w:bCs/>
          <w:iCs/>
        </w:rPr>
        <w:t>at the attic roofl</w:t>
      </w:r>
      <w:r w:rsidR="00424351" w:rsidRPr="00334F9E">
        <w:rPr>
          <w:rFonts w:ascii="Arial" w:hAnsi="Arial" w:cs="Arial"/>
          <w:bCs/>
          <w:iCs/>
        </w:rPr>
        <w:t>ine</w:t>
      </w:r>
      <w:r w:rsidR="00A52533" w:rsidRPr="00334F9E">
        <w:rPr>
          <w:rFonts w:ascii="Arial" w:hAnsi="Arial" w:cs="Arial"/>
          <w:bCs/>
          <w:iCs/>
        </w:rPr>
        <w:t xml:space="preserve"> but</w:t>
      </w:r>
      <w:r w:rsidR="00424351" w:rsidRPr="00334F9E">
        <w:rPr>
          <w:rFonts w:ascii="Arial" w:hAnsi="Arial" w:cs="Arial"/>
          <w:bCs/>
          <w:iCs/>
        </w:rPr>
        <w:t xml:space="preserve"> </w:t>
      </w:r>
      <w:r w:rsidR="000829D2" w:rsidRPr="00334F9E">
        <w:rPr>
          <w:rFonts w:ascii="Arial" w:hAnsi="Arial" w:cs="Arial"/>
          <w:bCs/>
          <w:iCs/>
        </w:rPr>
        <w:t xml:space="preserve">below the roof deck </w:t>
      </w:r>
      <w:r w:rsidR="00EE32F0" w:rsidRPr="00334F9E">
        <w:rPr>
          <w:rFonts w:ascii="Arial" w:hAnsi="Arial" w:cs="Arial"/>
          <w:bCs/>
          <w:iCs/>
        </w:rPr>
        <w:t>may be used if mechanical equipment and air distribution system are located entirely within the building thermal envelope. "Air-impermeable" shall be defined as having an air permeance not exceeding 0.02 L/s-m 2 at 75 Pa pressure differential tested according to ASTM E 2178 or ASTM E 283.</w:t>
      </w:r>
    </w:p>
    <w:p w14:paraId="25063F68" w14:textId="77777777" w:rsidR="00704CF7" w:rsidRPr="00334F9E" w:rsidRDefault="00704CF7" w:rsidP="00693E4C">
      <w:pPr>
        <w:jc w:val="both"/>
        <w:rPr>
          <w:rFonts w:ascii="Arial" w:hAnsi="Arial" w:cs="Arial"/>
          <w:b/>
          <w:i/>
        </w:rPr>
      </w:pPr>
    </w:p>
    <w:p w14:paraId="16DFF57A" w14:textId="4D467F56" w:rsidR="00693E4C" w:rsidRPr="00334F9E" w:rsidRDefault="00693E4C" w:rsidP="00693E4C">
      <w:pPr>
        <w:jc w:val="both"/>
        <w:rPr>
          <w:rFonts w:ascii="Arial" w:hAnsi="Arial" w:cs="Arial"/>
          <w:b/>
          <w:i/>
        </w:rPr>
      </w:pPr>
      <w:r w:rsidRPr="00334F9E">
        <w:rPr>
          <w:rFonts w:ascii="Arial" w:hAnsi="Arial" w:cs="Arial"/>
          <w:b/>
          <w:i/>
        </w:rPr>
        <w:t xml:space="preserve">***Table 402.1.3 </w:t>
      </w:r>
      <w:r w:rsidR="003A0B53" w:rsidRPr="00334F9E">
        <w:rPr>
          <w:rFonts w:ascii="Arial" w:hAnsi="Arial" w:cs="Arial"/>
          <w:b/>
          <w:i/>
        </w:rPr>
        <w:t>(N</w:t>
      </w:r>
      <w:r w:rsidR="006A3AB8" w:rsidRPr="00334F9E">
        <w:rPr>
          <w:rFonts w:ascii="Arial" w:hAnsi="Arial" w:cs="Arial"/>
          <w:b/>
          <w:i/>
        </w:rPr>
        <w:t xml:space="preserve">1102.1.3) </w:t>
      </w:r>
      <w:r w:rsidRPr="00334F9E">
        <w:rPr>
          <w:rFonts w:ascii="Arial" w:hAnsi="Arial" w:cs="Arial"/>
          <w:b/>
          <w:i/>
        </w:rPr>
        <w:t>Insulation/Climate Zone items</w:t>
      </w:r>
      <w:proofErr w:type="gramStart"/>
      <w:r w:rsidRPr="00334F9E">
        <w:rPr>
          <w:rFonts w:ascii="Arial" w:hAnsi="Arial" w:cs="Arial"/>
          <w:b/>
          <w:i/>
        </w:rPr>
        <w:t>:  amend</w:t>
      </w:r>
      <w:proofErr w:type="gramEnd"/>
      <w:r w:rsidRPr="00334F9E">
        <w:rPr>
          <w:rFonts w:ascii="Arial" w:hAnsi="Arial" w:cs="Arial"/>
          <w:b/>
          <w:i/>
        </w:rPr>
        <w:t xml:space="preserve"> table as follows.</w:t>
      </w:r>
    </w:p>
    <w:p w14:paraId="2823267E" w14:textId="77777777" w:rsidR="009A6340" w:rsidRPr="00334F9E" w:rsidRDefault="009A6340" w:rsidP="009A6340">
      <w:pPr>
        <w:spacing w:after="46" w:line="265" w:lineRule="auto"/>
        <w:ind w:left="-5"/>
        <w:rPr>
          <w:rFonts w:ascii="Arial" w:hAnsi="Arial" w:cs="Arial"/>
          <w:b/>
          <w:iCs/>
        </w:rPr>
      </w:pPr>
    </w:p>
    <w:p w14:paraId="78E1FC87" w14:textId="0F6F229B" w:rsidR="009A6340" w:rsidRPr="00334F9E" w:rsidRDefault="00985E0B" w:rsidP="009A6340">
      <w:pPr>
        <w:spacing w:after="46" w:line="265" w:lineRule="auto"/>
        <w:ind w:left="-5"/>
        <w:rPr>
          <w:rFonts w:ascii="Arial" w:hAnsi="Arial" w:cs="Arial"/>
          <w:b/>
          <w:iCs/>
        </w:rPr>
      </w:pPr>
      <w:r w:rsidRPr="00334F9E">
        <w:rPr>
          <w:rFonts w:ascii="Arial" w:hAnsi="Arial" w:cs="Arial"/>
          <w:b/>
          <w:iCs/>
        </w:rPr>
        <w:t>TABLE R402.1.3</w:t>
      </w:r>
      <w:r w:rsidR="006A3AB8" w:rsidRPr="00334F9E">
        <w:rPr>
          <w:rFonts w:ascii="Arial" w:hAnsi="Arial" w:cs="Arial"/>
          <w:b/>
          <w:iCs/>
        </w:rPr>
        <w:t xml:space="preserve"> (N1102.1.3)</w:t>
      </w:r>
      <w:r w:rsidRPr="00334F9E">
        <w:rPr>
          <w:rFonts w:ascii="Arial" w:hAnsi="Arial" w:cs="Arial"/>
          <w:b/>
          <w:iCs/>
        </w:rPr>
        <w:t xml:space="preserve"> - INSULATION MINIMUM R-VALUES AND FENESTRATION REQUIREMENTS BY COMPONENT</w:t>
      </w:r>
    </w:p>
    <w:p w14:paraId="10A1B604" w14:textId="77777777" w:rsidR="009A6340" w:rsidRPr="00334F9E" w:rsidRDefault="009A6340" w:rsidP="009A6340">
      <w:pPr>
        <w:spacing w:after="46" w:line="265" w:lineRule="auto"/>
        <w:ind w:left="-5"/>
        <w:rPr>
          <w:rFonts w:ascii="Arial" w:hAnsi="Arial" w:cs="Arial"/>
          <w:bCs/>
          <w:i/>
        </w:rPr>
      </w:pPr>
      <w:r w:rsidRPr="00334F9E">
        <w:rPr>
          <w:rFonts w:ascii="Arial" w:hAnsi="Arial" w:cs="Arial"/>
          <w:bCs/>
          <w:i/>
        </w:rPr>
        <w:t xml:space="preserve">Portions of </w:t>
      </w:r>
      <w:proofErr w:type="gramStart"/>
      <w:r w:rsidRPr="00334F9E">
        <w:rPr>
          <w:rFonts w:ascii="Arial" w:hAnsi="Arial" w:cs="Arial"/>
          <w:bCs/>
          <w:i/>
        </w:rPr>
        <w:t>table</w:t>
      </w:r>
      <w:proofErr w:type="gramEnd"/>
      <w:r w:rsidRPr="00334F9E">
        <w:rPr>
          <w:rFonts w:ascii="Arial" w:hAnsi="Arial" w:cs="Arial"/>
          <w:bCs/>
          <w:i/>
        </w:rPr>
        <w:t xml:space="preserve"> not shown remain unchanged.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104"/>
        <w:gridCol w:w="1945"/>
      </w:tblGrid>
      <w:tr w:rsidR="00334F9E" w:rsidRPr="00334F9E" w14:paraId="49BD2377" w14:textId="77777777" w:rsidTr="006135DF">
        <w:trPr>
          <w:trHeight w:val="542"/>
        </w:trPr>
        <w:tc>
          <w:tcPr>
            <w:tcW w:w="1766" w:type="dxa"/>
            <w:shd w:val="clear" w:color="auto" w:fill="auto"/>
          </w:tcPr>
          <w:p w14:paraId="26D06B61" w14:textId="77777777" w:rsidR="009A6340" w:rsidRPr="00334F9E" w:rsidRDefault="009A6340" w:rsidP="00F87E9E">
            <w:pPr>
              <w:jc w:val="center"/>
              <w:rPr>
                <w:rFonts w:ascii="Arial" w:hAnsi="Arial" w:cs="Arial"/>
                <w:b/>
                <w:i/>
              </w:rPr>
            </w:pPr>
            <w:r w:rsidRPr="00334F9E">
              <w:rPr>
                <w:rFonts w:ascii="Arial" w:hAnsi="Arial" w:cs="Arial"/>
                <w:b/>
                <w:i/>
              </w:rPr>
              <w:t>CLIMATE ZONE</w:t>
            </w:r>
          </w:p>
        </w:tc>
        <w:tc>
          <w:tcPr>
            <w:tcW w:w="2104" w:type="dxa"/>
            <w:shd w:val="clear" w:color="auto" w:fill="auto"/>
          </w:tcPr>
          <w:p w14:paraId="24B43D5C" w14:textId="77777777" w:rsidR="009A6340" w:rsidRPr="00334F9E" w:rsidRDefault="009A6340" w:rsidP="00F87E9E">
            <w:pPr>
              <w:jc w:val="center"/>
              <w:rPr>
                <w:rFonts w:ascii="Arial" w:hAnsi="Arial" w:cs="Arial"/>
                <w:b/>
                <w:i/>
              </w:rPr>
            </w:pPr>
            <w:r w:rsidRPr="00334F9E">
              <w:rPr>
                <w:rFonts w:ascii="Arial" w:hAnsi="Arial" w:cs="Arial"/>
                <w:b/>
                <w:i/>
              </w:rPr>
              <w:t>2</w:t>
            </w:r>
          </w:p>
        </w:tc>
        <w:tc>
          <w:tcPr>
            <w:tcW w:w="1945" w:type="dxa"/>
            <w:shd w:val="clear" w:color="auto" w:fill="auto"/>
          </w:tcPr>
          <w:p w14:paraId="31A2B316" w14:textId="77777777" w:rsidR="009A6340" w:rsidRPr="00334F9E" w:rsidRDefault="009A6340" w:rsidP="00F87E9E">
            <w:pPr>
              <w:jc w:val="center"/>
              <w:rPr>
                <w:rFonts w:ascii="Arial" w:hAnsi="Arial" w:cs="Arial"/>
                <w:b/>
                <w:i/>
              </w:rPr>
            </w:pPr>
            <w:r w:rsidRPr="00334F9E">
              <w:rPr>
                <w:rFonts w:ascii="Arial" w:hAnsi="Arial" w:cs="Arial"/>
                <w:b/>
                <w:i/>
              </w:rPr>
              <w:t>3</w:t>
            </w:r>
          </w:p>
        </w:tc>
      </w:tr>
      <w:tr w:rsidR="00334F9E" w:rsidRPr="00334F9E" w14:paraId="31667278" w14:textId="77777777" w:rsidTr="006135DF">
        <w:trPr>
          <w:trHeight w:val="271"/>
        </w:trPr>
        <w:tc>
          <w:tcPr>
            <w:tcW w:w="1766" w:type="dxa"/>
            <w:shd w:val="clear" w:color="auto" w:fill="auto"/>
          </w:tcPr>
          <w:p w14:paraId="78066937" w14:textId="3D20E7E7" w:rsidR="009A6340" w:rsidRPr="00334F9E" w:rsidRDefault="004127BA" w:rsidP="006135DF">
            <w:pPr>
              <w:jc w:val="center"/>
              <w:rPr>
                <w:rFonts w:ascii="Arial" w:hAnsi="Arial" w:cs="Arial"/>
                <w:b/>
                <w:i/>
                <w:u w:val="single"/>
              </w:rPr>
            </w:pPr>
            <w:r w:rsidRPr="00334F9E">
              <w:rPr>
                <w:rFonts w:ascii="Arial" w:hAnsi="Arial" w:cs="Arial"/>
                <w:b/>
                <w:i/>
                <w:u w:val="single"/>
              </w:rPr>
              <w:t>attic roofline R-</w:t>
            </w:r>
            <w:proofErr w:type="spellStart"/>
            <w:r w:rsidRPr="00334F9E">
              <w:rPr>
                <w:rFonts w:ascii="Arial" w:hAnsi="Arial" w:cs="Arial"/>
                <w:b/>
                <w:i/>
                <w:u w:val="single"/>
              </w:rPr>
              <w:t>value</w:t>
            </w:r>
            <w:r w:rsidR="00F87E9E" w:rsidRPr="00334F9E">
              <w:rPr>
                <w:rFonts w:ascii="Arial" w:hAnsi="Arial" w:cs="Arial"/>
                <w:b/>
                <w:i/>
                <w:u w:val="single"/>
                <w:vertAlign w:val="superscript"/>
              </w:rPr>
              <w:t>i</w:t>
            </w:r>
            <w:proofErr w:type="spellEnd"/>
            <w:r w:rsidR="00F87E9E" w:rsidRPr="00334F9E">
              <w:rPr>
                <w:rFonts w:ascii="Arial" w:hAnsi="Arial" w:cs="Arial"/>
                <w:b/>
                <w:i/>
                <w:u w:val="single"/>
              </w:rPr>
              <w:t xml:space="preserve"> </w:t>
            </w:r>
          </w:p>
        </w:tc>
        <w:tc>
          <w:tcPr>
            <w:tcW w:w="2104" w:type="dxa"/>
            <w:shd w:val="clear" w:color="auto" w:fill="auto"/>
          </w:tcPr>
          <w:p w14:paraId="28FF4CC8" w14:textId="50CE0A2B" w:rsidR="009A6340" w:rsidRPr="00334F9E" w:rsidRDefault="00B8251E" w:rsidP="006135DF">
            <w:pPr>
              <w:jc w:val="center"/>
              <w:rPr>
                <w:rFonts w:ascii="Arial" w:hAnsi="Arial" w:cs="Arial"/>
                <w:b/>
                <w:i/>
                <w:u w:val="single"/>
              </w:rPr>
            </w:pPr>
            <w:r w:rsidRPr="00334F9E">
              <w:rPr>
                <w:rFonts w:ascii="Arial" w:hAnsi="Arial" w:cs="Arial"/>
                <w:b/>
                <w:i/>
                <w:u w:val="single"/>
              </w:rPr>
              <w:t>30</w:t>
            </w:r>
            <w:r w:rsidR="000700E9" w:rsidRPr="00334F9E">
              <w:rPr>
                <w:rFonts w:ascii="Arial" w:hAnsi="Arial" w:cs="Arial"/>
                <w:b/>
                <w:i/>
                <w:u w:val="single"/>
              </w:rPr>
              <w:t>+0ci</w:t>
            </w:r>
          </w:p>
        </w:tc>
        <w:tc>
          <w:tcPr>
            <w:tcW w:w="1945" w:type="dxa"/>
            <w:shd w:val="clear" w:color="auto" w:fill="auto"/>
          </w:tcPr>
          <w:p w14:paraId="65315A6A" w14:textId="470C9B9F" w:rsidR="009A6340" w:rsidRPr="00334F9E" w:rsidRDefault="00B8251E" w:rsidP="006135DF">
            <w:pPr>
              <w:jc w:val="center"/>
              <w:rPr>
                <w:rFonts w:ascii="Arial" w:hAnsi="Arial" w:cs="Arial"/>
                <w:b/>
                <w:i/>
                <w:u w:val="single"/>
              </w:rPr>
            </w:pPr>
            <w:r w:rsidRPr="00334F9E">
              <w:rPr>
                <w:rFonts w:ascii="Arial" w:hAnsi="Arial" w:cs="Arial"/>
                <w:b/>
                <w:i/>
                <w:u w:val="single"/>
              </w:rPr>
              <w:t>30</w:t>
            </w:r>
            <w:r w:rsidR="001B35F3" w:rsidRPr="00334F9E">
              <w:rPr>
                <w:rFonts w:ascii="Arial" w:hAnsi="Arial" w:cs="Arial"/>
                <w:b/>
                <w:i/>
                <w:u w:val="single"/>
              </w:rPr>
              <w:t>+0ci</w:t>
            </w:r>
          </w:p>
        </w:tc>
      </w:tr>
    </w:tbl>
    <w:p w14:paraId="424236E4" w14:textId="56C7D579" w:rsidR="009A6340" w:rsidRPr="00334F9E" w:rsidRDefault="00A52533" w:rsidP="00A52533">
      <w:pPr>
        <w:jc w:val="both"/>
        <w:rPr>
          <w:rFonts w:ascii="Arial" w:hAnsi="Arial" w:cs="Arial"/>
          <w:bCs/>
          <w:iCs/>
        </w:rPr>
      </w:pPr>
      <w:proofErr w:type="spellStart"/>
      <w:r w:rsidRPr="00334F9E">
        <w:rPr>
          <w:rFonts w:ascii="Arial" w:hAnsi="Arial" w:cs="Arial"/>
          <w:bCs/>
          <w:iCs/>
        </w:rPr>
        <w:t>i</w:t>
      </w:r>
      <w:proofErr w:type="spellEnd"/>
      <w:r w:rsidR="004824E5" w:rsidRPr="00334F9E">
        <w:rPr>
          <w:rFonts w:ascii="Arial" w:hAnsi="Arial" w:cs="Arial"/>
          <w:bCs/>
          <w:iCs/>
        </w:rPr>
        <w:t>.</w:t>
      </w:r>
      <w:r w:rsidRPr="00334F9E">
        <w:rPr>
          <w:rFonts w:ascii="Arial" w:hAnsi="Arial" w:cs="Arial"/>
          <w:bCs/>
          <w:iCs/>
        </w:rPr>
        <w:t xml:space="preserve"> </w:t>
      </w:r>
      <w:r w:rsidR="00CF4681" w:rsidRPr="00334F9E">
        <w:rPr>
          <w:rFonts w:ascii="Arial" w:hAnsi="Arial" w:cs="Arial"/>
          <w:bCs/>
          <w:iCs/>
        </w:rPr>
        <w:t>Air-impermeable insulation of R-</w:t>
      </w:r>
      <w:r w:rsidR="00B8251E" w:rsidRPr="00334F9E">
        <w:rPr>
          <w:rFonts w:ascii="Arial" w:hAnsi="Arial" w:cs="Arial"/>
          <w:bCs/>
          <w:iCs/>
        </w:rPr>
        <w:t>30</w:t>
      </w:r>
      <w:r w:rsidR="00CF4681" w:rsidRPr="00334F9E">
        <w:rPr>
          <w:rFonts w:ascii="Arial" w:hAnsi="Arial" w:cs="Arial"/>
          <w:bCs/>
          <w:iCs/>
        </w:rPr>
        <w:t xml:space="preserve">&amp;0 or greater </w:t>
      </w:r>
      <w:r w:rsidR="007237E3" w:rsidRPr="00334F9E">
        <w:rPr>
          <w:rFonts w:ascii="Arial" w:hAnsi="Arial" w:cs="Arial"/>
          <w:bCs/>
          <w:iCs/>
        </w:rPr>
        <w:t xml:space="preserve">located </w:t>
      </w:r>
      <w:r w:rsidR="00D107F7" w:rsidRPr="00334F9E">
        <w:rPr>
          <w:rFonts w:ascii="Arial" w:hAnsi="Arial" w:cs="Arial"/>
          <w:bCs/>
          <w:iCs/>
        </w:rPr>
        <w:t>at the attic roofline</w:t>
      </w:r>
      <w:r w:rsidRPr="00334F9E">
        <w:rPr>
          <w:rFonts w:ascii="Arial" w:hAnsi="Arial" w:cs="Arial"/>
          <w:bCs/>
          <w:iCs/>
        </w:rPr>
        <w:t xml:space="preserve"> but</w:t>
      </w:r>
      <w:r w:rsidR="00D107F7" w:rsidRPr="00334F9E">
        <w:rPr>
          <w:rFonts w:ascii="Arial" w:hAnsi="Arial" w:cs="Arial"/>
          <w:bCs/>
          <w:iCs/>
        </w:rPr>
        <w:t xml:space="preserve"> below the roof deck </w:t>
      </w:r>
      <w:r w:rsidR="00CF4681" w:rsidRPr="00334F9E">
        <w:rPr>
          <w:rFonts w:ascii="Arial" w:hAnsi="Arial" w:cs="Arial"/>
          <w:bCs/>
          <w:iCs/>
        </w:rPr>
        <w:t>may be used if mechanical equipment and air distribution system are located entirely within the building thermal envelope. "Air-impermeable" shall be defined as having an air permeance not exceeding 0.02 L/s-m 2 at 75 Pa pressure differential tested according to ASTM E 2178 or ASTM E 283.</w:t>
      </w:r>
    </w:p>
    <w:p w14:paraId="76F0EDB4" w14:textId="77777777" w:rsidR="004824E5" w:rsidRPr="00334F9E" w:rsidRDefault="004824E5" w:rsidP="000D356A">
      <w:pPr>
        <w:jc w:val="both"/>
        <w:rPr>
          <w:rFonts w:ascii="Arial" w:hAnsi="Arial" w:cs="Arial"/>
          <w:i/>
        </w:rPr>
      </w:pPr>
    </w:p>
    <w:p w14:paraId="26A32EE4" w14:textId="018279D4" w:rsidR="00693E4C" w:rsidRPr="00334F9E" w:rsidRDefault="00693E4C" w:rsidP="000D356A">
      <w:pPr>
        <w:jc w:val="both"/>
        <w:rPr>
          <w:rFonts w:ascii="Arial" w:hAnsi="Arial" w:cs="Arial"/>
          <w:i/>
        </w:rPr>
      </w:pPr>
      <w:r w:rsidRPr="00334F9E">
        <w:rPr>
          <w:rFonts w:ascii="Arial" w:hAnsi="Arial" w:cs="Arial"/>
          <w:i/>
        </w:rPr>
        <w:t>(Reason</w:t>
      </w:r>
      <w:r w:rsidR="00F10CC8" w:rsidRPr="00334F9E">
        <w:rPr>
          <w:rFonts w:ascii="Arial" w:hAnsi="Arial" w:cs="Arial"/>
          <w:i/>
        </w:rPr>
        <w:t>: Amended</w:t>
      </w:r>
      <w:r w:rsidR="00351112" w:rsidRPr="00334F9E">
        <w:rPr>
          <w:rFonts w:ascii="Arial" w:hAnsi="Arial" w:cs="Arial"/>
          <w:i/>
        </w:rPr>
        <w:t xml:space="preserve"> table to meet current building techniques, market conditions and product availability.)</w:t>
      </w:r>
    </w:p>
    <w:p w14:paraId="5D4AAF5A" w14:textId="77777777" w:rsidR="00155A6F" w:rsidRPr="00334F9E" w:rsidRDefault="00155A6F" w:rsidP="0004747A">
      <w:pPr>
        <w:shd w:val="clear" w:color="auto" w:fill="A0A0A0"/>
        <w:jc w:val="both"/>
        <w:rPr>
          <w:rFonts w:ascii="Arial" w:hAnsi="Arial" w:cs="Arial"/>
          <w:b/>
        </w:rPr>
      </w:pPr>
    </w:p>
    <w:p w14:paraId="3F34FF5A" w14:textId="77777777" w:rsidR="005E5BCC" w:rsidRPr="00334F9E" w:rsidRDefault="005E5BCC" w:rsidP="005E5BCC">
      <w:pPr>
        <w:autoSpaceDE w:val="0"/>
        <w:autoSpaceDN w:val="0"/>
        <w:adjustRightInd w:val="0"/>
        <w:rPr>
          <w:rFonts w:ascii="Arial" w:hAnsi="Arial" w:cs="Arial"/>
          <w:b/>
          <w:i/>
          <w:u w:val="single"/>
        </w:rPr>
      </w:pPr>
      <w:bookmarkStart w:id="6" w:name="_Hlk74647514"/>
      <w:r w:rsidRPr="00334F9E">
        <w:rPr>
          <w:rFonts w:ascii="Arial" w:hAnsi="Arial" w:cs="Arial"/>
          <w:b/>
          <w:u w:val="single"/>
        </w:rPr>
        <w:t xml:space="preserve">***Section R404.2 (N1104.2) Interior lighting controls; </w:t>
      </w:r>
      <w:r w:rsidRPr="00334F9E">
        <w:rPr>
          <w:rFonts w:ascii="Arial" w:hAnsi="Arial" w:cs="Arial"/>
          <w:b/>
          <w:i/>
          <w:u w:val="single"/>
        </w:rPr>
        <w:t>deleted in its entirety.</w:t>
      </w:r>
    </w:p>
    <w:p w14:paraId="6F34F171" w14:textId="77777777" w:rsidR="005E5BCC" w:rsidRPr="00334F9E" w:rsidRDefault="005E5BCC" w:rsidP="005E5BCC">
      <w:pPr>
        <w:autoSpaceDE w:val="0"/>
        <w:autoSpaceDN w:val="0"/>
        <w:adjustRightInd w:val="0"/>
        <w:rPr>
          <w:rFonts w:ascii="Arial" w:hAnsi="Arial" w:cs="Arial"/>
          <w:b/>
          <w:u w:val="single"/>
        </w:rPr>
      </w:pPr>
    </w:p>
    <w:p w14:paraId="1A832BC8" w14:textId="6CD21316" w:rsidR="00075E5A" w:rsidRPr="00334F9E" w:rsidRDefault="005E5BCC" w:rsidP="00075E5A">
      <w:pPr>
        <w:jc w:val="both"/>
        <w:rPr>
          <w:rFonts w:ascii="Arial" w:hAnsi="Arial" w:cs="Arial"/>
          <w:bCs/>
          <w:i/>
          <w:iCs/>
          <w:u w:val="single"/>
        </w:rPr>
      </w:pPr>
      <w:r w:rsidRPr="00334F9E">
        <w:rPr>
          <w:rFonts w:ascii="Arial" w:hAnsi="Arial" w:cs="Arial"/>
          <w:bCs/>
          <w:i/>
          <w:iCs/>
          <w:u w:val="single"/>
        </w:rPr>
        <w:t>(</w:t>
      </w:r>
      <w:r w:rsidR="00075E5A" w:rsidRPr="00334F9E">
        <w:rPr>
          <w:rFonts w:ascii="Arial" w:hAnsi="Arial" w:cs="Arial"/>
          <w:bCs/>
          <w:i/>
          <w:iCs/>
          <w:u w:val="single"/>
        </w:rPr>
        <w:t>Reason: The requirement for automatic shutoff and switched receptacle controls in sleeping and dwelling units imposes an unnecessary restriction on personal living spaces, where lighting use should be a matter of individual preference rather than mandated control.)</w:t>
      </w:r>
    </w:p>
    <w:bookmarkEnd w:id="6"/>
    <w:p w14:paraId="6331E67E" w14:textId="77777777" w:rsidR="005525D4" w:rsidRPr="00334F9E" w:rsidRDefault="005525D4" w:rsidP="005525D4">
      <w:pPr>
        <w:shd w:val="clear" w:color="auto" w:fill="A0A0A0"/>
        <w:jc w:val="both"/>
        <w:rPr>
          <w:rFonts w:ascii="Arial" w:hAnsi="Arial" w:cs="Arial"/>
          <w:b/>
        </w:rPr>
      </w:pPr>
    </w:p>
    <w:p w14:paraId="6964A730" w14:textId="679E8644" w:rsidR="00B22F03" w:rsidRPr="00334F9E" w:rsidRDefault="00B22F03" w:rsidP="00B22F03">
      <w:pPr>
        <w:jc w:val="both"/>
        <w:rPr>
          <w:rFonts w:ascii="Arial" w:hAnsi="Arial" w:cs="Arial"/>
          <w:b/>
          <w:i/>
        </w:rPr>
      </w:pPr>
      <w:r w:rsidRPr="00334F9E">
        <w:rPr>
          <w:rFonts w:ascii="Arial" w:hAnsi="Arial" w:cs="Arial"/>
          <w:b/>
          <w:i/>
        </w:rPr>
        <w:t>***</w:t>
      </w:r>
      <w:r w:rsidR="00161D2A" w:rsidRPr="00334F9E">
        <w:t xml:space="preserve"> </w:t>
      </w:r>
      <w:r w:rsidR="00161D2A" w:rsidRPr="00334F9E">
        <w:rPr>
          <w:rFonts w:ascii="Arial" w:hAnsi="Arial" w:cs="Arial"/>
          <w:b/>
          <w:i/>
        </w:rPr>
        <w:t xml:space="preserve">TABLE R405.4.2(1) </w:t>
      </w:r>
      <w:r w:rsidR="006A3AB8" w:rsidRPr="00334F9E">
        <w:rPr>
          <w:rFonts w:ascii="Arial" w:hAnsi="Arial" w:cs="Arial"/>
          <w:b/>
          <w:i/>
        </w:rPr>
        <w:t>(N1105.</w:t>
      </w:r>
      <w:r w:rsidR="003E1376" w:rsidRPr="00334F9E">
        <w:rPr>
          <w:rFonts w:ascii="Arial" w:hAnsi="Arial" w:cs="Arial"/>
          <w:b/>
          <w:i/>
        </w:rPr>
        <w:t xml:space="preserve">4.2(1)) - </w:t>
      </w:r>
      <w:r w:rsidR="00161D2A" w:rsidRPr="00334F9E">
        <w:rPr>
          <w:rFonts w:ascii="Arial" w:hAnsi="Arial" w:cs="Arial"/>
          <w:b/>
          <w:i/>
        </w:rPr>
        <w:t>SPECIFICATIONS FOR THE STANDARD REFERENCE AND PROPOSED DESIGNS</w:t>
      </w:r>
      <w:r w:rsidRPr="00334F9E">
        <w:rPr>
          <w:rFonts w:ascii="Arial" w:hAnsi="Arial" w:cs="Arial"/>
          <w:b/>
          <w:i/>
        </w:rPr>
        <w:t>: amend table as follows.</w:t>
      </w:r>
    </w:p>
    <w:p w14:paraId="223AB26B" w14:textId="707E639A" w:rsidR="0026133F" w:rsidRPr="00334F9E" w:rsidRDefault="0026133F" w:rsidP="0026133F">
      <w:pPr>
        <w:pStyle w:val="Heading1"/>
        <w:rPr>
          <w:rFonts w:ascii="Arial" w:eastAsia="Times New Roman" w:hAnsi="Arial" w:cs="Arial"/>
          <w:b/>
          <w:i/>
          <w:color w:val="auto"/>
          <w:sz w:val="20"/>
          <w:szCs w:val="20"/>
        </w:rPr>
      </w:pPr>
      <w:r w:rsidRPr="00334F9E">
        <w:rPr>
          <w:rFonts w:ascii="Arial" w:eastAsia="Times New Roman" w:hAnsi="Arial" w:cs="Arial"/>
          <w:b/>
          <w:i/>
          <w:color w:val="auto"/>
          <w:sz w:val="20"/>
          <w:szCs w:val="20"/>
        </w:rPr>
        <w:t xml:space="preserve">TABLE R405.4.2(1) </w:t>
      </w:r>
      <w:r w:rsidR="003E1376" w:rsidRPr="00334F9E">
        <w:rPr>
          <w:rFonts w:ascii="Arial" w:eastAsia="Times New Roman" w:hAnsi="Arial" w:cs="Arial"/>
          <w:b/>
          <w:i/>
          <w:color w:val="auto"/>
          <w:sz w:val="20"/>
          <w:szCs w:val="20"/>
        </w:rPr>
        <w:t xml:space="preserve">(N1105.4.2(1)) </w:t>
      </w:r>
      <w:r w:rsidRPr="00334F9E">
        <w:rPr>
          <w:rFonts w:ascii="Arial" w:eastAsia="Times New Roman" w:hAnsi="Arial" w:cs="Arial"/>
          <w:b/>
          <w:i/>
          <w:color w:val="auto"/>
          <w:sz w:val="20"/>
          <w:szCs w:val="20"/>
        </w:rPr>
        <w:t>SPECIFICATIONS FOR THE STANDARD REFERENCE AND PROPOSED DESIGNS</w:t>
      </w:r>
    </w:p>
    <w:p w14:paraId="40DB746F" w14:textId="77777777" w:rsidR="0026133F" w:rsidRPr="00334F9E" w:rsidRDefault="0026133F" w:rsidP="0026133F">
      <w:pPr>
        <w:spacing w:after="46" w:line="265" w:lineRule="auto"/>
        <w:ind w:left="-5"/>
        <w:rPr>
          <w:rFonts w:ascii="Arial" w:hAnsi="Arial" w:cs="Arial"/>
          <w:bCs/>
          <w:i/>
        </w:rPr>
      </w:pPr>
      <w:r w:rsidRPr="00334F9E">
        <w:rPr>
          <w:rFonts w:ascii="Arial" w:hAnsi="Arial" w:cs="Arial"/>
          <w:bCs/>
          <w:i/>
        </w:rPr>
        <w:t xml:space="preserve">Portions of </w:t>
      </w:r>
      <w:proofErr w:type="gramStart"/>
      <w:r w:rsidRPr="00334F9E">
        <w:rPr>
          <w:rFonts w:ascii="Arial" w:hAnsi="Arial" w:cs="Arial"/>
          <w:bCs/>
          <w:i/>
        </w:rPr>
        <w:t>table</w:t>
      </w:r>
      <w:proofErr w:type="gramEnd"/>
      <w:r w:rsidRPr="00334F9E">
        <w:rPr>
          <w:rFonts w:ascii="Arial" w:hAnsi="Arial" w:cs="Arial"/>
          <w:bCs/>
          <w:i/>
        </w:rPr>
        <w:t xml:space="preserve"> not shown remain unchanged.</w:t>
      </w:r>
    </w:p>
    <w:tbl>
      <w:tblPr>
        <w:tblStyle w:val="TableGrid0"/>
        <w:tblW w:w="9344" w:type="dxa"/>
        <w:tblInd w:w="8" w:type="dxa"/>
        <w:tblCellMar>
          <w:top w:w="72" w:type="dxa"/>
          <w:left w:w="72" w:type="dxa"/>
          <w:bottom w:w="72" w:type="dxa"/>
          <w:right w:w="72" w:type="dxa"/>
        </w:tblCellMar>
        <w:tblLook w:val="0600" w:firstRow="0" w:lastRow="0" w:firstColumn="0" w:lastColumn="0" w:noHBand="1" w:noVBand="1"/>
      </w:tblPr>
      <w:tblGrid>
        <w:gridCol w:w="1575"/>
        <w:gridCol w:w="6059"/>
        <w:gridCol w:w="1710"/>
      </w:tblGrid>
      <w:tr w:rsidR="00334F9E" w:rsidRPr="00334F9E" w14:paraId="3FE553D9" w14:textId="77777777" w:rsidTr="00FF14BD">
        <w:tc>
          <w:tcPr>
            <w:tcW w:w="1575" w:type="dxa"/>
            <w:tcBorders>
              <w:top w:val="single" w:sz="6" w:space="0" w:color="000000"/>
              <w:left w:val="single" w:sz="6" w:space="0" w:color="000000"/>
              <w:bottom w:val="single" w:sz="6" w:space="0" w:color="000000"/>
              <w:right w:val="single" w:sz="6" w:space="0" w:color="000000"/>
            </w:tcBorders>
            <w:vAlign w:val="center"/>
          </w:tcPr>
          <w:p w14:paraId="3E0E9DB1" w14:textId="77777777" w:rsidR="0026133F" w:rsidRPr="00334F9E" w:rsidRDefault="0026133F" w:rsidP="006012F9">
            <w:pPr>
              <w:spacing w:after="7" w:line="259" w:lineRule="auto"/>
              <w:jc w:val="center"/>
              <w:rPr>
                <w:rFonts w:ascii="Arial" w:hAnsi="Arial" w:cs="Arial"/>
                <w:b/>
                <w:iCs/>
                <w:sz w:val="20"/>
                <w:szCs w:val="20"/>
              </w:rPr>
            </w:pPr>
            <w:r w:rsidRPr="00334F9E">
              <w:rPr>
                <w:rFonts w:ascii="Arial" w:hAnsi="Arial" w:cs="Arial"/>
                <w:b/>
                <w:iCs/>
                <w:sz w:val="20"/>
                <w:szCs w:val="20"/>
              </w:rPr>
              <w:t>BUILDING</w:t>
            </w:r>
          </w:p>
          <w:p w14:paraId="51C46132" w14:textId="77777777" w:rsidR="0026133F" w:rsidRPr="00334F9E" w:rsidRDefault="0026133F" w:rsidP="006012F9">
            <w:pPr>
              <w:spacing w:line="259" w:lineRule="auto"/>
              <w:jc w:val="center"/>
              <w:rPr>
                <w:rFonts w:ascii="Arial" w:hAnsi="Arial" w:cs="Arial"/>
                <w:b/>
                <w:iCs/>
                <w:sz w:val="20"/>
                <w:szCs w:val="20"/>
              </w:rPr>
            </w:pPr>
            <w:r w:rsidRPr="00334F9E">
              <w:rPr>
                <w:rFonts w:ascii="Arial" w:hAnsi="Arial" w:cs="Arial"/>
                <w:b/>
                <w:iCs/>
                <w:sz w:val="20"/>
                <w:szCs w:val="20"/>
              </w:rPr>
              <w:t>COMPONENT</w:t>
            </w:r>
          </w:p>
        </w:tc>
        <w:tc>
          <w:tcPr>
            <w:tcW w:w="6059" w:type="dxa"/>
            <w:tcBorders>
              <w:top w:val="single" w:sz="6" w:space="0" w:color="000000"/>
              <w:left w:val="single" w:sz="6" w:space="0" w:color="000000"/>
              <w:bottom w:val="single" w:sz="6" w:space="0" w:color="000000"/>
              <w:right w:val="single" w:sz="6" w:space="0" w:color="000000"/>
            </w:tcBorders>
            <w:vAlign w:val="center"/>
          </w:tcPr>
          <w:p w14:paraId="75D1A975" w14:textId="77777777" w:rsidR="0026133F" w:rsidRPr="00334F9E" w:rsidRDefault="0026133F" w:rsidP="006012F9">
            <w:pPr>
              <w:spacing w:line="259" w:lineRule="auto"/>
              <w:jc w:val="center"/>
              <w:rPr>
                <w:rFonts w:ascii="Arial" w:hAnsi="Arial" w:cs="Arial"/>
                <w:b/>
                <w:iCs/>
                <w:sz w:val="20"/>
                <w:szCs w:val="20"/>
              </w:rPr>
            </w:pPr>
            <w:r w:rsidRPr="00334F9E">
              <w:rPr>
                <w:rFonts w:ascii="Arial" w:hAnsi="Arial" w:cs="Arial"/>
                <w:b/>
                <w:iCs/>
                <w:sz w:val="20"/>
                <w:szCs w:val="20"/>
              </w:rPr>
              <w:t>STANDARD REFERENCE DESIGN</w:t>
            </w:r>
          </w:p>
        </w:tc>
        <w:tc>
          <w:tcPr>
            <w:tcW w:w="1710" w:type="dxa"/>
            <w:tcBorders>
              <w:top w:val="single" w:sz="6" w:space="0" w:color="000000"/>
              <w:left w:val="single" w:sz="6" w:space="0" w:color="000000"/>
              <w:bottom w:val="single" w:sz="6" w:space="0" w:color="000000"/>
              <w:right w:val="single" w:sz="6" w:space="0" w:color="000000"/>
            </w:tcBorders>
            <w:vAlign w:val="center"/>
          </w:tcPr>
          <w:p w14:paraId="075ED5BC" w14:textId="77777777" w:rsidR="0026133F" w:rsidRPr="00334F9E" w:rsidRDefault="0026133F" w:rsidP="006012F9">
            <w:pPr>
              <w:spacing w:after="7" w:line="259" w:lineRule="auto"/>
              <w:jc w:val="center"/>
              <w:rPr>
                <w:rFonts w:ascii="Arial" w:hAnsi="Arial" w:cs="Arial"/>
                <w:b/>
                <w:iCs/>
                <w:sz w:val="20"/>
                <w:szCs w:val="20"/>
              </w:rPr>
            </w:pPr>
            <w:r w:rsidRPr="00334F9E">
              <w:rPr>
                <w:rFonts w:ascii="Arial" w:hAnsi="Arial" w:cs="Arial"/>
                <w:b/>
                <w:iCs/>
                <w:sz w:val="20"/>
                <w:szCs w:val="20"/>
              </w:rPr>
              <w:t>PROPOSED</w:t>
            </w:r>
          </w:p>
          <w:p w14:paraId="5C3A33E2" w14:textId="77777777" w:rsidR="0026133F" w:rsidRPr="00334F9E" w:rsidRDefault="0026133F" w:rsidP="006012F9">
            <w:pPr>
              <w:spacing w:line="259" w:lineRule="auto"/>
              <w:jc w:val="center"/>
              <w:rPr>
                <w:rFonts w:ascii="Arial" w:hAnsi="Arial" w:cs="Arial"/>
                <w:b/>
                <w:iCs/>
                <w:sz w:val="20"/>
                <w:szCs w:val="20"/>
              </w:rPr>
            </w:pPr>
            <w:r w:rsidRPr="00334F9E">
              <w:rPr>
                <w:rFonts w:ascii="Arial" w:hAnsi="Arial" w:cs="Arial"/>
                <w:b/>
                <w:iCs/>
                <w:sz w:val="20"/>
                <w:szCs w:val="20"/>
              </w:rPr>
              <w:t>DESIGN</w:t>
            </w:r>
          </w:p>
        </w:tc>
      </w:tr>
      <w:tr w:rsidR="00334F9E" w:rsidRPr="00334F9E" w14:paraId="2EBA6067" w14:textId="77777777" w:rsidTr="00FF14BD">
        <w:tc>
          <w:tcPr>
            <w:tcW w:w="1575" w:type="dxa"/>
            <w:vMerge w:val="restart"/>
            <w:tcBorders>
              <w:top w:val="single" w:sz="6" w:space="0" w:color="000000"/>
              <w:left w:val="single" w:sz="6" w:space="0" w:color="000000"/>
              <w:bottom w:val="single" w:sz="6" w:space="0" w:color="000000"/>
              <w:right w:val="single" w:sz="6" w:space="0" w:color="000000"/>
            </w:tcBorders>
            <w:vAlign w:val="center"/>
          </w:tcPr>
          <w:p w14:paraId="5BCE7124" w14:textId="77777777" w:rsidR="0026133F" w:rsidRPr="00334F9E" w:rsidRDefault="0026133F" w:rsidP="006012F9">
            <w:pPr>
              <w:spacing w:line="259" w:lineRule="auto"/>
              <w:jc w:val="center"/>
              <w:rPr>
                <w:rFonts w:ascii="Arial" w:hAnsi="Arial" w:cs="Arial"/>
                <w:bCs/>
                <w:iCs/>
                <w:sz w:val="20"/>
                <w:szCs w:val="20"/>
              </w:rPr>
            </w:pPr>
            <w:r w:rsidRPr="00334F9E">
              <w:rPr>
                <w:rFonts w:ascii="Arial" w:hAnsi="Arial" w:cs="Arial"/>
                <w:bCs/>
                <w:iCs/>
                <w:sz w:val="20"/>
                <w:szCs w:val="20"/>
              </w:rPr>
              <w:t>Foundations</w:t>
            </w:r>
          </w:p>
        </w:tc>
        <w:tc>
          <w:tcPr>
            <w:tcW w:w="6059" w:type="dxa"/>
            <w:tcBorders>
              <w:top w:val="single" w:sz="6" w:space="0" w:color="000000"/>
              <w:left w:val="single" w:sz="6" w:space="0" w:color="000000"/>
              <w:bottom w:val="single" w:sz="6" w:space="0" w:color="000000"/>
              <w:right w:val="single" w:sz="6" w:space="0" w:color="000000"/>
            </w:tcBorders>
            <w:vAlign w:val="center"/>
          </w:tcPr>
          <w:p w14:paraId="19D74C98" w14:textId="77777777" w:rsidR="0026133F" w:rsidRPr="00334F9E" w:rsidRDefault="0026133F" w:rsidP="006012F9">
            <w:pPr>
              <w:spacing w:line="259" w:lineRule="auto"/>
              <w:rPr>
                <w:rFonts w:ascii="Arial" w:hAnsi="Arial" w:cs="Arial"/>
                <w:bCs/>
                <w:iCs/>
                <w:sz w:val="20"/>
                <w:szCs w:val="20"/>
              </w:rPr>
            </w:pPr>
            <w:r w:rsidRPr="00334F9E">
              <w:rPr>
                <w:rFonts w:ascii="Arial" w:hAnsi="Arial" w:cs="Arial"/>
                <w:bCs/>
                <w:iCs/>
                <w:sz w:val="20"/>
                <w:szCs w:val="20"/>
              </w:rPr>
              <w:t>Type: same as proposed.</w:t>
            </w:r>
          </w:p>
        </w:tc>
        <w:tc>
          <w:tcPr>
            <w:tcW w:w="1710" w:type="dxa"/>
            <w:tcBorders>
              <w:top w:val="single" w:sz="6" w:space="0" w:color="000000"/>
              <w:left w:val="single" w:sz="6" w:space="0" w:color="000000"/>
              <w:bottom w:val="single" w:sz="6" w:space="0" w:color="000000"/>
              <w:right w:val="single" w:sz="6" w:space="0" w:color="000000"/>
            </w:tcBorders>
            <w:vAlign w:val="center"/>
          </w:tcPr>
          <w:p w14:paraId="73A226E0" w14:textId="77777777" w:rsidR="0026133F" w:rsidRPr="00334F9E" w:rsidRDefault="0026133F" w:rsidP="006012F9">
            <w:pPr>
              <w:spacing w:line="259" w:lineRule="auto"/>
              <w:jc w:val="center"/>
              <w:rPr>
                <w:rFonts w:ascii="Arial" w:hAnsi="Arial" w:cs="Arial"/>
                <w:bCs/>
                <w:iCs/>
                <w:sz w:val="20"/>
                <w:szCs w:val="20"/>
              </w:rPr>
            </w:pPr>
            <w:r w:rsidRPr="00334F9E">
              <w:rPr>
                <w:rFonts w:ascii="Arial" w:hAnsi="Arial" w:cs="Arial"/>
                <w:bCs/>
                <w:iCs/>
                <w:sz w:val="20"/>
                <w:szCs w:val="20"/>
              </w:rPr>
              <w:t>As proposed</w:t>
            </w:r>
          </w:p>
        </w:tc>
      </w:tr>
      <w:tr w:rsidR="00334F9E" w:rsidRPr="00334F9E" w14:paraId="608E9F02" w14:textId="77777777" w:rsidTr="00FF14BD">
        <w:tc>
          <w:tcPr>
            <w:tcW w:w="0" w:type="auto"/>
            <w:vMerge/>
            <w:tcBorders>
              <w:top w:val="nil"/>
              <w:left w:val="single" w:sz="6" w:space="0" w:color="000000"/>
              <w:bottom w:val="nil"/>
              <w:right w:val="single" w:sz="6" w:space="0" w:color="000000"/>
            </w:tcBorders>
          </w:tcPr>
          <w:p w14:paraId="3F11212A" w14:textId="77777777" w:rsidR="0026133F" w:rsidRPr="00334F9E" w:rsidRDefault="0026133F" w:rsidP="006012F9">
            <w:pPr>
              <w:spacing w:after="160" w:line="259" w:lineRule="auto"/>
              <w:rPr>
                <w:rFonts w:ascii="Arial" w:hAnsi="Arial" w:cs="Arial"/>
                <w:bCs/>
                <w:iCs/>
                <w:sz w:val="20"/>
                <w:szCs w:val="20"/>
              </w:rPr>
            </w:pPr>
          </w:p>
        </w:tc>
        <w:tc>
          <w:tcPr>
            <w:tcW w:w="6059" w:type="dxa"/>
            <w:tcBorders>
              <w:top w:val="single" w:sz="6" w:space="0" w:color="000000"/>
              <w:left w:val="single" w:sz="6" w:space="0" w:color="000000"/>
              <w:bottom w:val="single" w:sz="4" w:space="0" w:color="auto"/>
              <w:right w:val="single" w:sz="6" w:space="0" w:color="000000"/>
            </w:tcBorders>
            <w:vAlign w:val="center"/>
          </w:tcPr>
          <w:p w14:paraId="0F32289E" w14:textId="77777777" w:rsidR="0026133F" w:rsidRPr="00334F9E" w:rsidRDefault="0026133F" w:rsidP="006012F9">
            <w:pPr>
              <w:spacing w:after="40"/>
              <w:rPr>
                <w:rFonts w:ascii="Arial" w:hAnsi="Arial" w:cs="Arial"/>
                <w:bCs/>
                <w:iCs/>
                <w:sz w:val="20"/>
                <w:szCs w:val="20"/>
              </w:rPr>
            </w:pPr>
            <w:r w:rsidRPr="00334F9E">
              <w:rPr>
                <w:rFonts w:ascii="Arial" w:hAnsi="Arial" w:cs="Arial"/>
                <w:bCs/>
                <w:iCs/>
                <w:sz w:val="20"/>
                <w:szCs w:val="20"/>
              </w:rPr>
              <w:t>Foundation wall or slab extension above grade: 1 foot (30cm)</w:t>
            </w:r>
          </w:p>
          <w:p w14:paraId="124CFF81" w14:textId="77777777" w:rsidR="0026133F" w:rsidRPr="00334F9E" w:rsidRDefault="0026133F" w:rsidP="006012F9">
            <w:pPr>
              <w:spacing w:after="40"/>
              <w:rPr>
                <w:rFonts w:ascii="Arial" w:hAnsi="Arial" w:cs="Arial"/>
                <w:bCs/>
                <w:iCs/>
                <w:sz w:val="20"/>
                <w:szCs w:val="20"/>
              </w:rPr>
            </w:pPr>
            <w:r w:rsidRPr="00334F9E">
              <w:rPr>
                <w:rFonts w:ascii="Arial" w:hAnsi="Arial" w:cs="Arial"/>
                <w:bCs/>
                <w:iCs/>
                <w:sz w:val="20"/>
                <w:szCs w:val="20"/>
              </w:rPr>
              <w:t>Foundation wall or slab extension below grade: same as proposed</w:t>
            </w:r>
          </w:p>
          <w:p w14:paraId="2EF2C3FE" w14:textId="77777777" w:rsidR="0026133F" w:rsidRPr="00334F9E" w:rsidRDefault="0026133F" w:rsidP="006012F9">
            <w:pPr>
              <w:spacing w:after="40"/>
              <w:rPr>
                <w:rFonts w:ascii="Arial" w:hAnsi="Arial" w:cs="Arial"/>
                <w:bCs/>
                <w:iCs/>
                <w:sz w:val="20"/>
                <w:szCs w:val="20"/>
              </w:rPr>
            </w:pPr>
            <w:r w:rsidRPr="00334F9E">
              <w:rPr>
                <w:rFonts w:ascii="Arial" w:hAnsi="Arial" w:cs="Arial"/>
                <w:bCs/>
                <w:iCs/>
                <w:sz w:val="20"/>
                <w:szCs w:val="20"/>
              </w:rPr>
              <w:t>Foundation wall or slab perimeter length: same as proposed</w:t>
            </w:r>
          </w:p>
          <w:p w14:paraId="3255AFBB" w14:textId="77777777" w:rsidR="0026133F" w:rsidRPr="00334F9E" w:rsidRDefault="0026133F" w:rsidP="006012F9">
            <w:pPr>
              <w:spacing w:after="40"/>
              <w:rPr>
                <w:rFonts w:ascii="Arial" w:hAnsi="Arial" w:cs="Arial"/>
                <w:bCs/>
                <w:iCs/>
                <w:sz w:val="20"/>
                <w:szCs w:val="20"/>
              </w:rPr>
            </w:pPr>
            <w:r w:rsidRPr="00334F9E">
              <w:rPr>
                <w:rFonts w:ascii="Arial" w:hAnsi="Arial" w:cs="Arial"/>
                <w:bCs/>
                <w:iCs/>
                <w:sz w:val="20"/>
                <w:szCs w:val="20"/>
              </w:rPr>
              <w:t>Soil characteristics: same as proposed.</w:t>
            </w:r>
          </w:p>
        </w:tc>
        <w:tc>
          <w:tcPr>
            <w:tcW w:w="1710" w:type="dxa"/>
            <w:tcBorders>
              <w:top w:val="single" w:sz="6" w:space="0" w:color="000000"/>
              <w:left w:val="single" w:sz="6" w:space="0" w:color="000000"/>
              <w:bottom w:val="single" w:sz="6" w:space="0" w:color="000000"/>
              <w:right w:val="single" w:sz="6" w:space="0" w:color="000000"/>
            </w:tcBorders>
            <w:vAlign w:val="center"/>
          </w:tcPr>
          <w:p w14:paraId="1C436537" w14:textId="77777777" w:rsidR="0026133F" w:rsidRPr="00334F9E" w:rsidRDefault="0026133F" w:rsidP="006012F9">
            <w:pPr>
              <w:spacing w:line="259" w:lineRule="auto"/>
              <w:jc w:val="center"/>
              <w:rPr>
                <w:rFonts w:ascii="Arial" w:hAnsi="Arial" w:cs="Arial"/>
                <w:bCs/>
                <w:iCs/>
                <w:sz w:val="20"/>
                <w:szCs w:val="20"/>
              </w:rPr>
            </w:pPr>
            <w:r w:rsidRPr="00334F9E">
              <w:rPr>
                <w:rFonts w:ascii="Arial" w:hAnsi="Arial" w:cs="Arial"/>
                <w:bCs/>
                <w:iCs/>
                <w:sz w:val="20"/>
                <w:szCs w:val="20"/>
              </w:rPr>
              <w:t>As proposed</w:t>
            </w:r>
          </w:p>
        </w:tc>
      </w:tr>
      <w:tr w:rsidR="00334F9E" w:rsidRPr="00334F9E" w14:paraId="285D503F" w14:textId="77777777" w:rsidTr="00FF14BD">
        <w:tc>
          <w:tcPr>
            <w:tcW w:w="0" w:type="auto"/>
            <w:vMerge/>
            <w:tcBorders>
              <w:top w:val="nil"/>
              <w:left w:val="single" w:sz="6" w:space="0" w:color="000000"/>
              <w:bottom w:val="single" w:sz="4" w:space="0" w:color="auto"/>
              <w:right w:val="single" w:sz="6" w:space="0" w:color="000000"/>
            </w:tcBorders>
          </w:tcPr>
          <w:p w14:paraId="5A76FA20" w14:textId="77777777" w:rsidR="0026133F" w:rsidRPr="00334F9E" w:rsidRDefault="0026133F" w:rsidP="006012F9">
            <w:pPr>
              <w:spacing w:after="160" w:line="259" w:lineRule="auto"/>
              <w:rPr>
                <w:rFonts w:ascii="Arial" w:hAnsi="Arial" w:cs="Arial"/>
                <w:bCs/>
                <w:iCs/>
                <w:sz w:val="20"/>
                <w:szCs w:val="20"/>
              </w:rPr>
            </w:pPr>
          </w:p>
        </w:tc>
        <w:tc>
          <w:tcPr>
            <w:tcW w:w="6059" w:type="dxa"/>
            <w:tcBorders>
              <w:top w:val="single" w:sz="4" w:space="0" w:color="auto"/>
              <w:left w:val="single" w:sz="6" w:space="0" w:color="000000"/>
              <w:bottom w:val="single" w:sz="4" w:space="0" w:color="auto"/>
              <w:right w:val="single" w:sz="6" w:space="0" w:color="000000"/>
            </w:tcBorders>
            <w:vAlign w:val="center"/>
          </w:tcPr>
          <w:p w14:paraId="216674C5" w14:textId="620F6013" w:rsidR="0026133F" w:rsidRPr="00334F9E" w:rsidRDefault="0026133F" w:rsidP="006012F9">
            <w:pPr>
              <w:spacing w:line="259" w:lineRule="auto"/>
              <w:rPr>
                <w:rFonts w:ascii="Arial" w:hAnsi="Arial" w:cs="Arial"/>
                <w:bCs/>
                <w:iCs/>
                <w:sz w:val="20"/>
                <w:szCs w:val="20"/>
              </w:rPr>
            </w:pPr>
            <w:r w:rsidRPr="00334F9E">
              <w:rPr>
                <w:rFonts w:ascii="Arial" w:hAnsi="Arial" w:cs="Arial"/>
                <w:bCs/>
                <w:iCs/>
                <w:sz w:val="20"/>
                <w:szCs w:val="20"/>
              </w:rPr>
              <w:t>Foundation wall U-factor and slab-on-grade F-factor: as specified in Table R402.1.</w:t>
            </w:r>
            <w:proofErr w:type="gramStart"/>
            <w:r w:rsidRPr="00334F9E">
              <w:rPr>
                <w:rFonts w:ascii="Arial" w:hAnsi="Arial" w:cs="Arial"/>
                <w:bCs/>
                <w:iCs/>
                <w:sz w:val="20"/>
                <w:szCs w:val="20"/>
              </w:rPr>
              <w:t>2</w:t>
            </w:r>
            <w:r w:rsidRPr="00334F9E">
              <w:rPr>
                <w:rFonts w:ascii="Arial" w:hAnsi="Arial" w:cs="Arial"/>
                <w:bCs/>
                <w:iCs/>
                <w:sz w:val="20"/>
                <w:szCs w:val="20"/>
                <w:u w:val="single"/>
              </w:rPr>
              <w:t>.</w:t>
            </w:r>
            <w:r w:rsidR="002C6881" w:rsidRPr="00334F9E">
              <w:rPr>
                <w:rFonts w:ascii="Arial" w:hAnsi="Arial" w:cs="Arial"/>
                <w:bCs/>
                <w:iCs/>
                <w:sz w:val="20"/>
                <w:szCs w:val="20"/>
                <w:u w:val="single"/>
                <w:vertAlign w:val="superscript"/>
              </w:rPr>
              <w:t>n</w:t>
            </w:r>
            <w:proofErr w:type="gramEnd"/>
          </w:p>
        </w:tc>
        <w:tc>
          <w:tcPr>
            <w:tcW w:w="1710" w:type="dxa"/>
            <w:tcBorders>
              <w:top w:val="single" w:sz="6" w:space="0" w:color="000000"/>
              <w:left w:val="single" w:sz="6" w:space="0" w:color="000000"/>
              <w:bottom w:val="single" w:sz="4" w:space="0" w:color="auto"/>
              <w:right w:val="single" w:sz="6" w:space="0" w:color="000000"/>
            </w:tcBorders>
            <w:vAlign w:val="center"/>
          </w:tcPr>
          <w:p w14:paraId="729A668E" w14:textId="77777777" w:rsidR="0026133F" w:rsidRPr="00334F9E" w:rsidRDefault="0026133F" w:rsidP="006012F9">
            <w:pPr>
              <w:spacing w:line="259" w:lineRule="auto"/>
              <w:jc w:val="center"/>
              <w:rPr>
                <w:rFonts w:ascii="Arial" w:hAnsi="Arial" w:cs="Arial"/>
                <w:bCs/>
                <w:iCs/>
                <w:sz w:val="20"/>
                <w:szCs w:val="20"/>
              </w:rPr>
            </w:pPr>
            <w:r w:rsidRPr="00334F9E">
              <w:rPr>
                <w:rFonts w:ascii="Arial" w:hAnsi="Arial" w:cs="Arial"/>
                <w:bCs/>
                <w:iCs/>
                <w:sz w:val="20"/>
                <w:szCs w:val="20"/>
              </w:rPr>
              <w:t>As proposed</w:t>
            </w:r>
          </w:p>
        </w:tc>
      </w:tr>
    </w:tbl>
    <w:p w14:paraId="1EDC41B4" w14:textId="77777777" w:rsidR="0026133F" w:rsidRPr="00334F9E" w:rsidRDefault="0026133F" w:rsidP="0026133F">
      <w:pPr>
        <w:spacing w:after="279"/>
        <w:ind w:left="-5" w:right="60"/>
        <w:rPr>
          <w:rFonts w:ascii="Arial" w:hAnsi="Arial" w:cs="Arial"/>
          <w:bCs/>
          <w:iCs/>
        </w:rPr>
      </w:pPr>
      <w:r w:rsidRPr="00334F9E">
        <w:rPr>
          <w:rFonts w:ascii="Arial" w:hAnsi="Arial" w:cs="Arial"/>
          <w:bCs/>
          <w:iCs/>
        </w:rPr>
        <w:t>For SI: 1 square foot = 0.93 m2, 1 British thermal unit = 1055 J, 1 pound per square foot = 4.88 kg/m2, 1 gallon (US) = 3.785 L, °C = (°F-32)/1.8, 1 degree = 0.79 rad.</w:t>
      </w:r>
    </w:p>
    <w:p w14:paraId="02D14E71" w14:textId="7376E060" w:rsidR="0026133F" w:rsidRPr="00334F9E" w:rsidRDefault="00763E31" w:rsidP="0026133F">
      <w:pPr>
        <w:spacing w:after="334"/>
        <w:ind w:left="325" w:right="60"/>
        <w:rPr>
          <w:rFonts w:ascii="Arial" w:hAnsi="Arial" w:cs="Arial"/>
          <w:u w:val="single"/>
        </w:rPr>
      </w:pPr>
      <w:r w:rsidRPr="00334F9E">
        <w:rPr>
          <w:rFonts w:ascii="Arial" w:hAnsi="Arial" w:cs="Arial"/>
          <w:u w:val="single"/>
        </w:rPr>
        <w:t>n</w:t>
      </w:r>
      <w:r w:rsidR="0026133F" w:rsidRPr="00334F9E">
        <w:rPr>
          <w:rFonts w:ascii="Arial" w:hAnsi="Arial" w:cs="Arial"/>
          <w:u w:val="single"/>
        </w:rPr>
        <w:t xml:space="preserve">. In accordance with Section R402.2.10, a maximum </w:t>
      </w:r>
      <w:r w:rsidR="0026133F" w:rsidRPr="00334F9E">
        <w:rPr>
          <w:rFonts w:ascii="Arial" w:hAnsi="Arial" w:cs="Arial"/>
          <w:i/>
          <w:u w:val="single"/>
        </w:rPr>
        <w:t>F</w:t>
      </w:r>
      <w:r w:rsidR="0026133F" w:rsidRPr="00334F9E">
        <w:rPr>
          <w:rFonts w:ascii="Arial" w:hAnsi="Arial" w:cs="Arial"/>
          <w:u w:val="single"/>
        </w:rPr>
        <w:t xml:space="preserve">-factor of 0.73 shall apply for the reference design in jurisdictions designated by the </w:t>
      </w:r>
      <w:proofErr w:type="gramStart"/>
      <w:r w:rsidR="0026133F" w:rsidRPr="00334F9E">
        <w:rPr>
          <w:rFonts w:ascii="Arial" w:hAnsi="Arial" w:cs="Arial"/>
          <w:i/>
          <w:u w:val="single"/>
        </w:rPr>
        <w:t>code official</w:t>
      </w:r>
      <w:proofErr w:type="gramEnd"/>
      <w:r w:rsidR="0026133F" w:rsidRPr="00334F9E">
        <w:rPr>
          <w:rFonts w:ascii="Arial" w:hAnsi="Arial" w:cs="Arial"/>
          <w:u w:val="single"/>
        </w:rPr>
        <w:t xml:space="preserve"> as having a </w:t>
      </w:r>
      <w:r w:rsidR="0067545A" w:rsidRPr="00334F9E">
        <w:rPr>
          <w:rFonts w:ascii="Arial" w:hAnsi="Arial" w:cs="Arial"/>
          <w:u w:val="single"/>
        </w:rPr>
        <w:t>moderate to h</w:t>
      </w:r>
      <w:r w:rsidR="00B203E0" w:rsidRPr="00334F9E">
        <w:rPr>
          <w:rFonts w:ascii="Arial" w:hAnsi="Arial" w:cs="Arial"/>
          <w:u w:val="single"/>
        </w:rPr>
        <w:t>eav</w:t>
      </w:r>
      <w:r w:rsidR="0067545A" w:rsidRPr="00334F9E">
        <w:rPr>
          <w:rFonts w:ascii="Arial" w:hAnsi="Arial" w:cs="Arial"/>
          <w:u w:val="single"/>
        </w:rPr>
        <w:t xml:space="preserve">y or </w:t>
      </w:r>
      <w:r w:rsidR="0026133F" w:rsidRPr="00334F9E">
        <w:rPr>
          <w:rFonts w:ascii="Arial" w:hAnsi="Arial" w:cs="Arial"/>
          <w:u w:val="single"/>
        </w:rPr>
        <w:t>very heavy termite infestation probability.</w:t>
      </w:r>
    </w:p>
    <w:p w14:paraId="0B31DC60" w14:textId="77777777" w:rsidR="00715AA2" w:rsidRPr="00334F9E" w:rsidRDefault="00715AA2" w:rsidP="00715AA2">
      <w:pPr>
        <w:jc w:val="both"/>
        <w:rPr>
          <w:rFonts w:ascii="Arial" w:hAnsi="Arial" w:cs="Arial"/>
          <w:i/>
        </w:rPr>
      </w:pPr>
      <w:r w:rsidRPr="00334F9E">
        <w:rPr>
          <w:rFonts w:ascii="Arial" w:hAnsi="Arial" w:cs="Arial"/>
          <w:i/>
        </w:rPr>
        <w:t>(Reason:  Termites are an issue of concern throughout the North Central Texas Council of Governments Region which includes areas designated as having a “moderate to heavy” and “very heavy” infestation probability.)</w:t>
      </w:r>
    </w:p>
    <w:p w14:paraId="0F2B9775" w14:textId="77777777" w:rsidR="0026133F" w:rsidRPr="00334F9E" w:rsidRDefault="0026133F" w:rsidP="0026133F">
      <w:pPr>
        <w:shd w:val="clear" w:color="auto" w:fill="A0A0A0"/>
        <w:jc w:val="both"/>
        <w:rPr>
          <w:rFonts w:ascii="Arial" w:hAnsi="Arial" w:cs="Arial"/>
          <w:b/>
        </w:rPr>
      </w:pPr>
    </w:p>
    <w:p w14:paraId="0C646664" w14:textId="37F0663E" w:rsidR="00F86073" w:rsidRPr="00334F9E" w:rsidRDefault="00F86073" w:rsidP="0004747A">
      <w:pPr>
        <w:jc w:val="both"/>
        <w:rPr>
          <w:rFonts w:ascii="Arial" w:hAnsi="Arial" w:cs="Arial"/>
        </w:rPr>
      </w:pPr>
      <w:r w:rsidRPr="00334F9E">
        <w:rPr>
          <w:rFonts w:ascii="Arial" w:hAnsi="Arial" w:cs="Arial"/>
          <w:b/>
          <w:i/>
        </w:rPr>
        <w:t>**TABLE R406.</w:t>
      </w:r>
      <w:r w:rsidR="004D7716" w:rsidRPr="00334F9E">
        <w:rPr>
          <w:rFonts w:ascii="Arial" w:hAnsi="Arial" w:cs="Arial"/>
          <w:b/>
          <w:i/>
        </w:rPr>
        <w:t>5</w:t>
      </w:r>
      <w:r w:rsidRPr="00334F9E">
        <w:rPr>
          <w:rFonts w:ascii="Arial" w:hAnsi="Arial" w:cs="Arial"/>
          <w:b/>
          <w:i/>
        </w:rPr>
        <w:t xml:space="preserve"> </w:t>
      </w:r>
      <w:r w:rsidR="00AB2A4A" w:rsidRPr="00334F9E">
        <w:rPr>
          <w:rFonts w:ascii="Arial" w:hAnsi="Arial" w:cs="Arial"/>
          <w:b/>
          <w:i/>
        </w:rPr>
        <w:t>(N1106.</w:t>
      </w:r>
      <w:r w:rsidR="004D7716" w:rsidRPr="00334F9E">
        <w:rPr>
          <w:rFonts w:ascii="Arial" w:hAnsi="Arial" w:cs="Arial"/>
          <w:b/>
          <w:i/>
        </w:rPr>
        <w:t>5</w:t>
      </w:r>
      <w:r w:rsidR="00AB2A4A" w:rsidRPr="00334F9E">
        <w:rPr>
          <w:rFonts w:ascii="Arial" w:hAnsi="Arial" w:cs="Arial"/>
          <w:b/>
          <w:i/>
        </w:rPr>
        <w:t xml:space="preserve">) </w:t>
      </w:r>
      <w:r w:rsidRPr="00334F9E">
        <w:rPr>
          <w:rFonts w:ascii="Arial" w:hAnsi="Arial" w:cs="Arial"/>
          <w:b/>
          <w:i/>
        </w:rPr>
        <w:t>MAXIMUM ENERGY RATING INDEX;</w:t>
      </w:r>
      <w:r w:rsidRPr="00334F9E">
        <w:rPr>
          <w:rFonts w:ascii="Arial" w:hAnsi="Arial" w:cs="Arial"/>
          <w:b/>
        </w:rPr>
        <w:t xml:space="preserve"> amend to read as follows</w:t>
      </w:r>
      <w:r w:rsidRPr="00334F9E">
        <w:rPr>
          <w:rFonts w:ascii="Arial" w:hAnsi="Arial" w:cs="Arial"/>
        </w:rPr>
        <w:t>:</w:t>
      </w:r>
    </w:p>
    <w:p w14:paraId="02B8C30E" w14:textId="77777777" w:rsidR="00F86073" w:rsidRPr="00334F9E" w:rsidRDefault="00F86073" w:rsidP="0004747A">
      <w:pPr>
        <w:jc w:val="both"/>
        <w:rPr>
          <w:rFonts w:ascii="Arial" w:hAnsi="Arial" w:cs="Arial"/>
        </w:rPr>
      </w:pPr>
    </w:p>
    <w:p w14:paraId="051F9075" w14:textId="77777777" w:rsidR="00E16F98" w:rsidRPr="00334F9E" w:rsidRDefault="00E16F98" w:rsidP="0004747A">
      <w:pPr>
        <w:jc w:val="both"/>
        <w:rPr>
          <w:rFonts w:ascii="Arial" w:hAnsi="Arial" w:cs="Arial"/>
        </w:rPr>
      </w:pPr>
    </w:p>
    <w:p w14:paraId="26F59DF7" w14:textId="429D488E" w:rsidR="00E16F98" w:rsidRPr="00334F9E" w:rsidRDefault="00E16F98" w:rsidP="00E16F98">
      <w:pPr>
        <w:jc w:val="center"/>
        <w:rPr>
          <w:rFonts w:ascii="Arial" w:hAnsi="Arial" w:cs="Arial"/>
          <w:b/>
        </w:rPr>
      </w:pPr>
      <w:r w:rsidRPr="00334F9E">
        <w:rPr>
          <w:rFonts w:ascii="Arial" w:hAnsi="Arial" w:cs="Arial"/>
          <w:b/>
        </w:rPr>
        <w:t>TABLE R406.</w:t>
      </w:r>
      <w:r w:rsidR="002C0A43" w:rsidRPr="00334F9E">
        <w:rPr>
          <w:rFonts w:ascii="Arial" w:hAnsi="Arial" w:cs="Arial"/>
          <w:b/>
        </w:rPr>
        <w:t>5</w:t>
      </w:r>
      <w:r w:rsidR="00AB2A4A" w:rsidRPr="00334F9E">
        <w:rPr>
          <w:rFonts w:ascii="Arial" w:hAnsi="Arial" w:cs="Arial"/>
          <w:b/>
        </w:rPr>
        <w:t xml:space="preserve"> </w:t>
      </w:r>
      <w:r w:rsidR="00AB2A4A" w:rsidRPr="00334F9E">
        <w:rPr>
          <w:rFonts w:ascii="Arial" w:hAnsi="Arial" w:cs="Arial"/>
          <w:b/>
          <w:i/>
        </w:rPr>
        <w:t>(N1106.</w:t>
      </w:r>
      <w:r w:rsidR="002C0A43" w:rsidRPr="00334F9E">
        <w:rPr>
          <w:rFonts w:ascii="Arial" w:hAnsi="Arial" w:cs="Arial"/>
          <w:b/>
          <w:i/>
        </w:rPr>
        <w:t>5</w:t>
      </w:r>
      <w:r w:rsidR="00AB2A4A" w:rsidRPr="00334F9E">
        <w:rPr>
          <w:rFonts w:ascii="Arial" w:hAnsi="Arial" w:cs="Arial"/>
          <w:b/>
          <w:i/>
        </w:rPr>
        <w:t xml:space="preserve">) </w:t>
      </w:r>
      <w:r w:rsidRPr="00334F9E">
        <w:rPr>
          <w:rFonts w:ascii="Arial" w:hAnsi="Arial" w:cs="Arial"/>
          <w:b/>
          <w:vertAlign w:val="superscript"/>
        </w:rPr>
        <w:t>2</w:t>
      </w:r>
    </w:p>
    <w:p w14:paraId="37B9E5D0" w14:textId="77777777" w:rsidR="00E16F98" w:rsidRPr="00334F9E" w:rsidRDefault="00E16F98" w:rsidP="00E16F98">
      <w:pPr>
        <w:jc w:val="center"/>
        <w:rPr>
          <w:rFonts w:ascii="Arial" w:hAnsi="Arial" w:cs="Arial"/>
          <w:b/>
        </w:rPr>
      </w:pPr>
      <w:r w:rsidRPr="00334F9E">
        <w:rPr>
          <w:rFonts w:ascii="Arial" w:hAnsi="Arial" w:cs="Arial"/>
          <w:b/>
        </w:rPr>
        <w:t>MAXIMUM ENERGY RATING INDEX</w:t>
      </w:r>
    </w:p>
    <w:p w14:paraId="71B22607" w14:textId="77777777" w:rsidR="00E16F98" w:rsidRPr="00334F9E" w:rsidRDefault="00E16F98" w:rsidP="00F86073">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225"/>
        <w:gridCol w:w="2892"/>
      </w:tblGrid>
      <w:tr w:rsidR="00334F9E" w:rsidRPr="00334F9E" w14:paraId="1A9443FF" w14:textId="0C448862" w:rsidTr="00763E31">
        <w:tc>
          <w:tcPr>
            <w:tcW w:w="3233" w:type="dxa"/>
            <w:shd w:val="clear" w:color="auto" w:fill="auto"/>
          </w:tcPr>
          <w:p w14:paraId="5A69CB62" w14:textId="77777777" w:rsidR="0002181B" w:rsidRPr="00334F9E" w:rsidRDefault="0002181B" w:rsidP="00182443">
            <w:pPr>
              <w:jc w:val="center"/>
              <w:rPr>
                <w:rFonts w:ascii="Arial" w:hAnsi="Arial" w:cs="Arial"/>
                <w:b/>
              </w:rPr>
            </w:pPr>
            <w:r w:rsidRPr="00334F9E">
              <w:rPr>
                <w:rFonts w:ascii="Arial" w:hAnsi="Arial" w:cs="Arial"/>
                <w:b/>
              </w:rPr>
              <w:t>CLIMATE ZONE</w:t>
            </w:r>
          </w:p>
        </w:tc>
        <w:tc>
          <w:tcPr>
            <w:tcW w:w="3225" w:type="dxa"/>
            <w:shd w:val="clear" w:color="auto" w:fill="auto"/>
          </w:tcPr>
          <w:p w14:paraId="27AC5DB9" w14:textId="505A26AA" w:rsidR="0002181B" w:rsidRPr="00334F9E" w:rsidRDefault="0002181B" w:rsidP="00182443">
            <w:pPr>
              <w:jc w:val="center"/>
              <w:rPr>
                <w:rFonts w:ascii="Arial" w:hAnsi="Arial" w:cs="Arial"/>
                <w:b/>
              </w:rPr>
            </w:pPr>
            <w:r w:rsidRPr="00334F9E">
              <w:rPr>
                <w:rFonts w:ascii="Arial" w:hAnsi="Arial" w:cs="Arial"/>
                <w:b/>
              </w:rPr>
              <w:t>ENERGY RATING INDEX NOT INCLUDING OPP</w:t>
            </w:r>
          </w:p>
        </w:tc>
        <w:tc>
          <w:tcPr>
            <w:tcW w:w="2892" w:type="dxa"/>
          </w:tcPr>
          <w:p w14:paraId="3C30D352" w14:textId="1003B2E2" w:rsidR="0002181B" w:rsidRPr="00334F9E" w:rsidRDefault="0002181B" w:rsidP="00182443">
            <w:pPr>
              <w:jc w:val="center"/>
              <w:rPr>
                <w:rFonts w:ascii="Arial" w:hAnsi="Arial" w:cs="Arial"/>
                <w:b/>
              </w:rPr>
            </w:pPr>
            <w:r w:rsidRPr="00334F9E">
              <w:rPr>
                <w:rFonts w:ascii="Arial" w:hAnsi="Arial" w:cs="Arial"/>
                <w:b/>
              </w:rPr>
              <w:t>ENERGY RATING INDEX WITH OPP</w:t>
            </w:r>
          </w:p>
        </w:tc>
      </w:tr>
      <w:tr w:rsidR="00334F9E" w:rsidRPr="00334F9E" w14:paraId="0E2FD6C0" w14:textId="3827C1B6" w:rsidTr="00763E31">
        <w:tc>
          <w:tcPr>
            <w:tcW w:w="3233" w:type="dxa"/>
            <w:shd w:val="clear" w:color="auto" w:fill="auto"/>
          </w:tcPr>
          <w:p w14:paraId="4501538B" w14:textId="77777777" w:rsidR="00763E31" w:rsidRPr="00334F9E" w:rsidRDefault="00763E31" w:rsidP="00763E31">
            <w:pPr>
              <w:jc w:val="center"/>
              <w:rPr>
                <w:rFonts w:ascii="Arial" w:hAnsi="Arial" w:cs="Arial"/>
              </w:rPr>
            </w:pPr>
            <w:r w:rsidRPr="00334F9E">
              <w:rPr>
                <w:rFonts w:ascii="Arial" w:hAnsi="Arial" w:cs="Arial"/>
              </w:rPr>
              <w:t>2</w:t>
            </w:r>
          </w:p>
        </w:tc>
        <w:tc>
          <w:tcPr>
            <w:tcW w:w="3225" w:type="dxa"/>
            <w:shd w:val="clear" w:color="auto" w:fill="auto"/>
          </w:tcPr>
          <w:p w14:paraId="5EEEE764" w14:textId="7F0CD822" w:rsidR="00763E31" w:rsidRPr="00334F9E" w:rsidRDefault="00763E31" w:rsidP="00763E31">
            <w:pPr>
              <w:jc w:val="center"/>
              <w:rPr>
                <w:rFonts w:ascii="Arial" w:hAnsi="Arial" w:cs="Arial"/>
              </w:rPr>
            </w:pPr>
            <w:r w:rsidRPr="00334F9E">
              <w:rPr>
                <w:rFonts w:ascii="Arial" w:hAnsi="Arial" w:cs="Arial"/>
                <w:strike/>
              </w:rPr>
              <w:t>51</w:t>
            </w:r>
            <w:r w:rsidRPr="00334F9E">
              <w:rPr>
                <w:rFonts w:ascii="Arial" w:hAnsi="Arial" w:cs="Arial"/>
              </w:rPr>
              <w:t xml:space="preserve"> 59</w:t>
            </w:r>
          </w:p>
        </w:tc>
        <w:tc>
          <w:tcPr>
            <w:tcW w:w="2892" w:type="dxa"/>
          </w:tcPr>
          <w:p w14:paraId="683F438C" w14:textId="4F497BD8" w:rsidR="00763E31" w:rsidRPr="00334F9E" w:rsidRDefault="00763E31" w:rsidP="00763E31">
            <w:pPr>
              <w:jc w:val="center"/>
              <w:rPr>
                <w:rFonts w:ascii="Arial" w:hAnsi="Arial" w:cs="Arial"/>
                <w:strike/>
              </w:rPr>
            </w:pPr>
            <w:r w:rsidRPr="00334F9E">
              <w:rPr>
                <w:rFonts w:ascii="Arial" w:hAnsi="Arial" w:cs="Arial"/>
                <w:strike/>
              </w:rPr>
              <w:t>34</w:t>
            </w:r>
          </w:p>
        </w:tc>
      </w:tr>
      <w:tr w:rsidR="00334F9E" w:rsidRPr="00334F9E" w14:paraId="5C50D3D6" w14:textId="5E0F494B" w:rsidTr="00763E31">
        <w:tc>
          <w:tcPr>
            <w:tcW w:w="3233" w:type="dxa"/>
            <w:shd w:val="clear" w:color="auto" w:fill="auto"/>
          </w:tcPr>
          <w:p w14:paraId="5C4E3B0C" w14:textId="77777777" w:rsidR="00763E31" w:rsidRPr="00334F9E" w:rsidRDefault="00763E31" w:rsidP="00763E31">
            <w:pPr>
              <w:jc w:val="center"/>
              <w:rPr>
                <w:rFonts w:ascii="Arial" w:hAnsi="Arial" w:cs="Arial"/>
              </w:rPr>
            </w:pPr>
            <w:r w:rsidRPr="00334F9E">
              <w:rPr>
                <w:rFonts w:ascii="Arial" w:hAnsi="Arial" w:cs="Arial"/>
              </w:rPr>
              <w:t>3</w:t>
            </w:r>
          </w:p>
        </w:tc>
        <w:tc>
          <w:tcPr>
            <w:tcW w:w="3225" w:type="dxa"/>
            <w:shd w:val="clear" w:color="auto" w:fill="auto"/>
          </w:tcPr>
          <w:p w14:paraId="403C1726" w14:textId="0517663C" w:rsidR="00763E31" w:rsidRPr="00334F9E" w:rsidRDefault="00763E31" w:rsidP="00763E31">
            <w:pPr>
              <w:jc w:val="center"/>
              <w:rPr>
                <w:rFonts w:ascii="Arial" w:hAnsi="Arial" w:cs="Arial"/>
              </w:rPr>
            </w:pPr>
            <w:r w:rsidRPr="00334F9E">
              <w:rPr>
                <w:rFonts w:ascii="Arial" w:hAnsi="Arial" w:cs="Arial"/>
                <w:strike/>
              </w:rPr>
              <w:t>50</w:t>
            </w:r>
            <w:r w:rsidRPr="00334F9E">
              <w:rPr>
                <w:rFonts w:ascii="Arial" w:hAnsi="Arial" w:cs="Arial"/>
              </w:rPr>
              <w:t xml:space="preserve"> 59</w:t>
            </w:r>
          </w:p>
        </w:tc>
        <w:tc>
          <w:tcPr>
            <w:tcW w:w="2892" w:type="dxa"/>
          </w:tcPr>
          <w:p w14:paraId="0B7BB09E" w14:textId="5120E7C2" w:rsidR="00763E31" w:rsidRPr="00334F9E" w:rsidRDefault="00763E31" w:rsidP="00763E31">
            <w:pPr>
              <w:jc w:val="center"/>
              <w:rPr>
                <w:rFonts w:ascii="Arial" w:hAnsi="Arial" w:cs="Arial"/>
                <w:strike/>
              </w:rPr>
            </w:pPr>
            <w:r w:rsidRPr="00334F9E">
              <w:rPr>
                <w:rFonts w:ascii="Arial" w:hAnsi="Arial" w:cs="Arial"/>
                <w:strike/>
              </w:rPr>
              <w:t>33</w:t>
            </w:r>
          </w:p>
        </w:tc>
      </w:tr>
    </w:tbl>
    <w:p w14:paraId="23DB9A13" w14:textId="77777777" w:rsidR="00E16F98" w:rsidRPr="00334F9E" w:rsidRDefault="00E16F98" w:rsidP="00E16F98">
      <w:pPr>
        <w:jc w:val="both"/>
        <w:rPr>
          <w:rFonts w:ascii="Arial" w:hAnsi="Arial" w:cs="Arial"/>
        </w:rPr>
      </w:pPr>
      <w:proofErr w:type="gramStart"/>
      <w:r w:rsidRPr="00334F9E">
        <w:rPr>
          <w:rFonts w:ascii="Arial" w:hAnsi="Arial" w:cs="Arial"/>
          <w:b/>
          <w:vertAlign w:val="superscript"/>
        </w:rPr>
        <w:t xml:space="preserve">2  </w:t>
      </w:r>
      <w:r w:rsidRPr="00334F9E">
        <w:rPr>
          <w:rFonts w:ascii="Arial" w:hAnsi="Arial" w:cs="Arial"/>
        </w:rPr>
        <w:t>The</w:t>
      </w:r>
      <w:proofErr w:type="gramEnd"/>
      <w:r w:rsidRPr="00334F9E">
        <w:rPr>
          <w:rFonts w:ascii="Arial" w:hAnsi="Arial" w:cs="Arial"/>
        </w:rPr>
        <w:t xml:space="preserve"> table is effective from September 1, </w:t>
      </w:r>
      <w:proofErr w:type="gramStart"/>
      <w:r w:rsidRPr="00334F9E">
        <w:rPr>
          <w:rFonts w:ascii="Arial" w:hAnsi="Arial" w:cs="Arial"/>
        </w:rPr>
        <w:t>20</w:t>
      </w:r>
      <w:r w:rsidR="009F0BF8" w:rsidRPr="00334F9E">
        <w:rPr>
          <w:rFonts w:ascii="Arial" w:hAnsi="Arial" w:cs="Arial"/>
        </w:rPr>
        <w:t>22</w:t>
      </w:r>
      <w:proofErr w:type="gramEnd"/>
      <w:r w:rsidRPr="00334F9E">
        <w:rPr>
          <w:rFonts w:ascii="Arial" w:hAnsi="Arial" w:cs="Arial"/>
        </w:rPr>
        <w:t xml:space="preserve"> to August 31, 202</w:t>
      </w:r>
      <w:r w:rsidR="009F0BF8" w:rsidRPr="00334F9E">
        <w:rPr>
          <w:rFonts w:ascii="Arial" w:hAnsi="Arial" w:cs="Arial"/>
        </w:rPr>
        <w:t>5</w:t>
      </w:r>
      <w:r w:rsidRPr="00334F9E">
        <w:rPr>
          <w:rFonts w:ascii="Arial" w:hAnsi="Arial" w:cs="Arial"/>
        </w:rPr>
        <w:t>.</w:t>
      </w:r>
    </w:p>
    <w:p w14:paraId="3AB2A2DE" w14:textId="77777777" w:rsidR="00E16F98" w:rsidRPr="00334F9E" w:rsidRDefault="00E16F98" w:rsidP="00F86073">
      <w:pPr>
        <w:jc w:val="center"/>
        <w:rPr>
          <w:rFonts w:ascii="Arial" w:hAnsi="Arial" w:cs="Arial"/>
        </w:rPr>
      </w:pPr>
      <w:r w:rsidRPr="00334F9E">
        <w:rPr>
          <w:rFonts w:ascii="Arial" w:hAnsi="Arial" w:cs="Arial"/>
        </w:rPr>
        <w:t xml:space="preserve">  </w:t>
      </w:r>
    </w:p>
    <w:p w14:paraId="721F01ED" w14:textId="0E59AE78" w:rsidR="00E16F98" w:rsidRPr="00334F9E" w:rsidRDefault="006B589D" w:rsidP="00E16F98">
      <w:pPr>
        <w:jc w:val="center"/>
        <w:rPr>
          <w:rFonts w:ascii="Arial" w:hAnsi="Arial" w:cs="Arial"/>
          <w:b/>
        </w:rPr>
      </w:pPr>
      <w:r w:rsidRPr="00334F9E">
        <w:rPr>
          <w:rFonts w:ascii="Arial" w:hAnsi="Arial" w:cs="Arial"/>
          <w:b/>
        </w:rPr>
        <w:t xml:space="preserve">TABLE R406.5 </w:t>
      </w:r>
      <w:r w:rsidRPr="00334F9E">
        <w:rPr>
          <w:rFonts w:ascii="Arial" w:hAnsi="Arial" w:cs="Arial"/>
          <w:b/>
          <w:i/>
        </w:rPr>
        <w:t>(N1106.5</w:t>
      </w:r>
      <w:r w:rsidR="00BB180C" w:rsidRPr="00334F9E">
        <w:rPr>
          <w:rFonts w:ascii="Arial" w:hAnsi="Arial" w:cs="Arial"/>
          <w:b/>
          <w:i/>
        </w:rPr>
        <w:t>)</w:t>
      </w:r>
      <w:r w:rsidRPr="00334F9E">
        <w:rPr>
          <w:rFonts w:ascii="Arial" w:hAnsi="Arial" w:cs="Arial"/>
          <w:b/>
          <w:i/>
        </w:rPr>
        <w:t xml:space="preserve"> </w:t>
      </w:r>
      <w:r w:rsidR="00E16F98" w:rsidRPr="00334F9E">
        <w:rPr>
          <w:rFonts w:ascii="Arial" w:hAnsi="Arial" w:cs="Arial"/>
          <w:b/>
          <w:vertAlign w:val="superscript"/>
        </w:rPr>
        <w:t>3</w:t>
      </w:r>
    </w:p>
    <w:p w14:paraId="2A99D4CA" w14:textId="77777777" w:rsidR="00E16F98" w:rsidRPr="00334F9E" w:rsidRDefault="00E16F98" w:rsidP="00E16F98">
      <w:pPr>
        <w:jc w:val="center"/>
        <w:rPr>
          <w:rFonts w:ascii="Arial" w:hAnsi="Arial" w:cs="Arial"/>
          <w:b/>
        </w:rPr>
      </w:pPr>
      <w:r w:rsidRPr="00334F9E">
        <w:rPr>
          <w:rFonts w:ascii="Arial" w:hAnsi="Arial" w:cs="Arial"/>
          <w:b/>
        </w:rPr>
        <w:t>MAXIMUM ENERGY RATING INDEX</w:t>
      </w:r>
    </w:p>
    <w:p w14:paraId="6A850E3D" w14:textId="77777777" w:rsidR="00E16F98" w:rsidRPr="00334F9E" w:rsidRDefault="00E16F98" w:rsidP="00F86073">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225"/>
        <w:gridCol w:w="2892"/>
      </w:tblGrid>
      <w:tr w:rsidR="00334F9E" w:rsidRPr="00334F9E" w14:paraId="06CEBAF1" w14:textId="155AD0B8" w:rsidTr="0002181B">
        <w:tc>
          <w:tcPr>
            <w:tcW w:w="3315" w:type="dxa"/>
            <w:shd w:val="clear" w:color="auto" w:fill="auto"/>
          </w:tcPr>
          <w:p w14:paraId="0D803798" w14:textId="77777777" w:rsidR="0002181B" w:rsidRPr="00334F9E" w:rsidRDefault="0002181B" w:rsidP="00182443">
            <w:pPr>
              <w:jc w:val="center"/>
              <w:rPr>
                <w:rFonts w:ascii="Arial" w:hAnsi="Arial" w:cs="Arial"/>
                <w:b/>
              </w:rPr>
            </w:pPr>
            <w:r w:rsidRPr="00334F9E">
              <w:rPr>
                <w:rFonts w:ascii="Arial" w:hAnsi="Arial" w:cs="Arial"/>
                <w:b/>
              </w:rPr>
              <w:lastRenderedPageBreak/>
              <w:t>CLIMATE ZONE</w:t>
            </w:r>
          </w:p>
        </w:tc>
        <w:tc>
          <w:tcPr>
            <w:tcW w:w="3298" w:type="dxa"/>
            <w:shd w:val="clear" w:color="auto" w:fill="auto"/>
          </w:tcPr>
          <w:p w14:paraId="0AE1783F" w14:textId="644EA36F" w:rsidR="0002181B" w:rsidRPr="00334F9E" w:rsidRDefault="0002181B" w:rsidP="00182443">
            <w:pPr>
              <w:jc w:val="center"/>
              <w:rPr>
                <w:rFonts w:ascii="Arial" w:hAnsi="Arial" w:cs="Arial"/>
                <w:b/>
              </w:rPr>
            </w:pPr>
            <w:r w:rsidRPr="00334F9E">
              <w:rPr>
                <w:rFonts w:ascii="Arial" w:hAnsi="Arial" w:cs="Arial"/>
                <w:b/>
              </w:rPr>
              <w:t>ENERGY RATING INDEX NOT INCLUDING OPP</w:t>
            </w:r>
          </w:p>
        </w:tc>
        <w:tc>
          <w:tcPr>
            <w:tcW w:w="2963" w:type="dxa"/>
          </w:tcPr>
          <w:p w14:paraId="5805DA37" w14:textId="658D8707" w:rsidR="0002181B" w:rsidRPr="00334F9E" w:rsidRDefault="0002181B" w:rsidP="00182443">
            <w:pPr>
              <w:jc w:val="center"/>
              <w:rPr>
                <w:rFonts w:ascii="Arial" w:hAnsi="Arial" w:cs="Arial"/>
                <w:b/>
              </w:rPr>
            </w:pPr>
            <w:r w:rsidRPr="00334F9E">
              <w:rPr>
                <w:rFonts w:ascii="Arial" w:hAnsi="Arial" w:cs="Arial"/>
                <w:b/>
              </w:rPr>
              <w:t>ENERGY RATING INDEX WITH OPP</w:t>
            </w:r>
          </w:p>
        </w:tc>
      </w:tr>
      <w:tr w:rsidR="00334F9E" w:rsidRPr="00334F9E" w14:paraId="595C9D90" w14:textId="739152BC" w:rsidTr="0002181B">
        <w:tc>
          <w:tcPr>
            <w:tcW w:w="3315" w:type="dxa"/>
            <w:shd w:val="clear" w:color="auto" w:fill="auto"/>
          </w:tcPr>
          <w:p w14:paraId="43E66FEA" w14:textId="77777777" w:rsidR="0002181B" w:rsidRPr="00334F9E" w:rsidRDefault="0002181B" w:rsidP="0002181B">
            <w:pPr>
              <w:jc w:val="center"/>
              <w:rPr>
                <w:rFonts w:ascii="Arial" w:hAnsi="Arial" w:cs="Arial"/>
              </w:rPr>
            </w:pPr>
            <w:r w:rsidRPr="00334F9E">
              <w:rPr>
                <w:rFonts w:ascii="Arial" w:hAnsi="Arial" w:cs="Arial"/>
              </w:rPr>
              <w:t>2</w:t>
            </w:r>
          </w:p>
        </w:tc>
        <w:tc>
          <w:tcPr>
            <w:tcW w:w="3298" w:type="dxa"/>
            <w:shd w:val="clear" w:color="auto" w:fill="auto"/>
          </w:tcPr>
          <w:p w14:paraId="7A603EF8" w14:textId="0D3D5CAC" w:rsidR="0002181B" w:rsidRPr="00334F9E" w:rsidRDefault="0002181B" w:rsidP="0002181B">
            <w:pPr>
              <w:jc w:val="center"/>
              <w:rPr>
                <w:rFonts w:ascii="Arial" w:hAnsi="Arial" w:cs="Arial"/>
              </w:rPr>
            </w:pPr>
            <w:r w:rsidRPr="00334F9E">
              <w:rPr>
                <w:rFonts w:ascii="Arial" w:hAnsi="Arial" w:cs="Arial"/>
                <w:strike/>
              </w:rPr>
              <w:t>51</w:t>
            </w:r>
            <w:r w:rsidRPr="00334F9E">
              <w:rPr>
                <w:rFonts w:ascii="Arial" w:hAnsi="Arial" w:cs="Arial"/>
              </w:rPr>
              <w:t xml:space="preserve"> 57</w:t>
            </w:r>
          </w:p>
        </w:tc>
        <w:tc>
          <w:tcPr>
            <w:tcW w:w="2963" w:type="dxa"/>
          </w:tcPr>
          <w:p w14:paraId="291FDF93" w14:textId="0B69308C" w:rsidR="0002181B" w:rsidRPr="00334F9E" w:rsidRDefault="0002181B" w:rsidP="0002181B">
            <w:pPr>
              <w:jc w:val="center"/>
              <w:rPr>
                <w:rFonts w:ascii="Arial" w:hAnsi="Arial" w:cs="Arial"/>
                <w:strike/>
              </w:rPr>
            </w:pPr>
            <w:r w:rsidRPr="00334F9E">
              <w:rPr>
                <w:rFonts w:ascii="Arial" w:hAnsi="Arial" w:cs="Arial"/>
                <w:strike/>
              </w:rPr>
              <w:t>34</w:t>
            </w:r>
          </w:p>
        </w:tc>
      </w:tr>
      <w:tr w:rsidR="00334F9E" w:rsidRPr="00334F9E" w14:paraId="131C2449" w14:textId="46D0C5D2" w:rsidTr="0002181B">
        <w:tc>
          <w:tcPr>
            <w:tcW w:w="3315" w:type="dxa"/>
            <w:shd w:val="clear" w:color="auto" w:fill="auto"/>
          </w:tcPr>
          <w:p w14:paraId="511585B0" w14:textId="77777777" w:rsidR="0002181B" w:rsidRPr="00334F9E" w:rsidRDefault="0002181B" w:rsidP="0002181B">
            <w:pPr>
              <w:jc w:val="center"/>
              <w:rPr>
                <w:rFonts w:ascii="Arial" w:hAnsi="Arial" w:cs="Arial"/>
              </w:rPr>
            </w:pPr>
            <w:r w:rsidRPr="00334F9E">
              <w:rPr>
                <w:rFonts w:ascii="Arial" w:hAnsi="Arial" w:cs="Arial"/>
              </w:rPr>
              <w:t>3</w:t>
            </w:r>
          </w:p>
        </w:tc>
        <w:tc>
          <w:tcPr>
            <w:tcW w:w="3298" w:type="dxa"/>
            <w:shd w:val="clear" w:color="auto" w:fill="auto"/>
          </w:tcPr>
          <w:p w14:paraId="41B68BC0" w14:textId="0748BCDE" w:rsidR="0002181B" w:rsidRPr="00334F9E" w:rsidRDefault="0002181B" w:rsidP="0002181B">
            <w:pPr>
              <w:jc w:val="center"/>
              <w:rPr>
                <w:rFonts w:ascii="Arial" w:hAnsi="Arial" w:cs="Arial"/>
              </w:rPr>
            </w:pPr>
            <w:r w:rsidRPr="00334F9E">
              <w:rPr>
                <w:rFonts w:ascii="Arial" w:hAnsi="Arial" w:cs="Arial"/>
                <w:strike/>
              </w:rPr>
              <w:t>50</w:t>
            </w:r>
            <w:r w:rsidRPr="00334F9E">
              <w:rPr>
                <w:rFonts w:ascii="Arial" w:hAnsi="Arial" w:cs="Arial"/>
              </w:rPr>
              <w:t xml:space="preserve"> 57</w:t>
            </w:r>
          </w:p>
        </w:tc>
        <w:tc>
          <w:tcPr>
            <w:tcW w:w="2963" w:type="dxa"/>
          </w:tcPr>
          <w:p w14:paraId="5241E4B3" w14:textId="5D781724" w:rsidR="0002181B" w:rsidRPr="00334F9E" w:rsidRDefault="0002181B" w:rsidP="0002181B">
            <w:pPr>
              <w:jc w:val="center"/>
              <w:rPr>
                <w:rFonts w:ascii="Arial" w:hAnsi="Arial" w:cs="Arial"/>
                <w:strike/>
              </w:rPr>
            </w:pPr>
            <w:r w:rsidRPr="00334F9E">
              <w:rPr>
                <w:rFonts w:ascii="Arial" w:hAnsi="Arial" w:cs="Arial"/>
                <w:strike/>
              </w:rPr>
              <w:t>33</w:t>
            </w:r>
          </w:p>
        </w:tc>
      </w:tr>
    </w:tbl>
    <w:p w14:paraId="39A8CEB3" w14:textId="77777777" w:rsidR="00E16F98" w:rsidRPr="00334F9E" w:rsidRDefault="00E16F98" w:rsidP="00E16F98">
      <w:pPr>
        <w:jc w:val="both"/>
        <w:rPr>
          <w:rFonts w:ascii="Arial" w:hAnsi="Arial" w:cs="Arial"/>
        </w:rPr>
      </w:pPr>
      <w:proofErr w:type="gramStart"/>
      <w:r w:rsidRPr="00334F9E">
        <w:rPr>
          <w:rFonts w:ascii="Arial" w:hAnsi="Arial" w:cs="Arial"/>
          <w:b/>
          <w:vertAlign w:val="superscript"/>
        </w:rPr>
        <w:t xml:space="preserve">3  </w:t>
      </w:r>
      <w:r w:rsidR="009F0BF8" w:rsidRPr="00334F9E">
        <w:rPr>
          <w:rFonts w:ascii="Arial" w:hAnsi="Arial" w:cs="Arial"/>
        </w:rPr>
        <w:t>The</w:t>
      </w:r>
      <w:proofErr w:type="gramEnd"/>
      <w:r w:rsidR="009F0BF8" w:rsidRPr="00334F9E">
        <w:rPr>
          <w:rFonts w:ascii="Arial" w:hAnsi="Arial" w:cs="Arial"/>
        </w:rPr>
        <w:t xml:space="preserve"> table is effective from September 1, </w:t>
      </w:r>
      <w:proofErr w:type="gramStart"/>
      <w:r w:rsidR="009F0BF8" w:rsidRPr="00334F9E">
        <w:rPr>
          <w:rFonts w:ascii="Arial" w:hAnsi="Arial" w:cs="Arial"/>
        </w:rPr>
        <w:t>2025</w:t>
      </w:r>
      <w:proofErr w:type="gramEnd"/>
      <w:r w:rsidR="009F0BF8" w:rsidRPr="00334F9E">
        <w:rPr>
          <w:rFonts w:ascii="Arial" w:hAnsi="Arial" w:cs="Arial"/>
        </w:rPr>
        <w:t xml:space="preserve"> to August 31, 2028.</w:t>
      </w:r>
    </w:p>
    <w:p w14:paraId="1C0E7C20" w14:textId="77777777" w:rsidR="009F0BF8" w:rsidRPr="00334F9E" w:rsidRDefault="009F0BF8" w:rsidP="00E16F98">
      <w:pPr>
        <w:jc w:val="both"/>
        <w:rPr>
          <w:rFonts w:ascii="Arial" w:hAnsi="Arial" w:cs="Arial"/>
        </w:rPr>
      </w:pPr>
    </w:p>
    <w:p w14:paraId="72BC9BF5" w14:textId="62DD8FC1" w:rsidR="009F0BF8" w:rsidRPr="00334F9E" w:rsidRDefault="006B589D" w:rsidP="009F0BF8">
      <w:pPr>
        <w:jc w:val="center"/>
        <w:rPr>
          <w:rFonts w:ascii="Arial" w:hAnsi="Arial" w:cs="Arial"/>
          <w:b/>
        </w:rPr>
      </w:pPr>
      <w:r w:rsidRPr="00334F9E">
        <w:rPr>
          <w:rFonts w:ascii="Arial" w:hAnsi="Arial" w:cs="Arial"/>
          <w:b/>
        </w:rPr>
        <w:t xml:space="preserve">TABLE R406.5 </w:t>
      </w:r>
      <w:r w:rsidRPr="00334F9E">
        <w:rPr>
          <w:rFonts w:ascii="Arial" w:hAnsi="Arial" w:cs="Arial"/>
          <w:b/>
          <w:i/>
        </w:rPr>
        <w:t>(N1106.5</w:t>
      </w:r>
      <w:r w:rsidR="00BB180C" w:rsidRPr="00334F9E">
        <w:rPr>
          <w:rFonts w:ascii="Arial" w:hAnsi="Arial" w:cs="Arial"/>
          <w:b/>
          <w:i/>
        </w:rPr>
        <w:t>)</w:t>
      </w:r>
      <w:r w:rsidRPr="00334F9E">
        <w:rPr>
          <w:rFonts w:ascii="Arial" w:hAnsi="Arial" w:cs="Arial"/>
          <w:b/>
          <w:i/>
        </w:rPr>
        <w:t xml:space="preserve"> </w:t>
      </w:r>
      <w:r w:rsidR="00BB180C" w:rsidRPr="00334F9E">
        <w:rPr>
          <w:rFonts w:ascii="Arial" w:hAnsi="Arial" w:cs="Arial"/>
          <w:b/>
          <w:vertAlign w:val="superscript"/>
        </w:rPr>
        <w:t>4</w:t>
      </w:r>
    </w:p>
    <w:p w14:paraId="48B7F905" w14:textId="77777777" w:rsidR="009F0BF8" w:rsidRPr="00334F9E" w:rsidRDefault="009F0BF8" w:rsidP="009F0BF8">
      <w:pPr>
        <w:jc w:val="center"/>
        <w:rPr>
          <w:rFonts w:ascii="Arial" w:hAnsi="Arial" w:cs="Arial"/>
          <w:b/>
        </w:rPr>
      </w:pPr>
      <w:r w:rsidRPr="00334F9E">
        <w:rPr>
          <w:rFonts w:ascii="Arial" w:hAnsi="Arial" w:cs="Arial"/>
          <w:b/>
        </w:rPr>
        <w:t>MAXIMUM ENERGY RATING INDEX</w:t>
      </w:r>
    </w:p>
    <w:p w14:paraId="54D907C3" w14:textId="77777777" w:rsidR="009F0BF8" w:rsidRPr="00334F9E" w:rsidRDefault="009F0BF8" w:rsidP="009F0BF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225"/>
        <w:gridCol w:w="2892"/>
      </w:tblGrid>
      <w:tr w:rsidR="00334F9E" w:rsidRPr="00334F9E" w14:paraId="56E8F23A" w14:textId="21A5C9B7" w:rsidTr="0002181B">
        <w:tc>
          <w:tcPr>
            <w:tcW w:w="3315" w:type="dxa"/>
            <w:shd w:val="clear" w:color="auto" w:fill="auto"/>
          </w:tcPr>
          <w:p w14:paraId="250BA09A" w14:textId="77777777" w:rsidR="0002181B" w:rsidRPr="00334F9E" w:rsidRDefault="0002181B" w:rsidP="0002181B">
            <w:pPr>
              <w:jc w:val="center"/>
              <w:rPr>
                <w:rFonts w:ascii="Arial" w:hAnsi="Arial" w:cs="Arial"/>
                <w:b/>
              </w:rPr>
            </w:pPr>
            <w:r w:rsidRPr="00334F9E">
              <w:rPr>
                <w:rFonts w:ascii="Arial" w:hAnsi="Arial" w:cs="Arial"/>
                <w:b/>
              </w:rPr>
              <w:t>CLIMATE ZONE</w:t>
            </w:r>
          </w:p>
        </w:tc>
        <w:tc>
          <w:tcPr>
            <w:tcW w:w="3298" w:type="dxa"/>
            <w:shd w:val="clear" w:color="auto" w:fill="auto"/>
          </w:tcPr>
          <w:p w14:paraId="4A1D08D7" w14:textId="47E36344" w:rsidR="0002181B" w:rsidRPr="00334F9E" w:rsidRDefault="0002181B" w:rsidP="0002181B">
            <w:pPr>
              <w:jc w:val="center"/>
              <w:rPr>
                <w:rFonts w:ascii="Arial" w:hAnsi="Arial" w:cs="Arial"/>
                <w:b/>
              </w:rPr>
            </w:pPr>
            <w:r w:rsidRPr="00334F9E">
              <w:rPr>
                <w:rFonts w:ascii="Arial" w:hAnsi="Arial" w:cs="Arial"/>
                <w:b/>
              </w:rPr>
              <w:t>ENERGY RATING INDEX NOT INCLUDING OPP</w:t>
            </w:r>
          </w:p>
        </w:tc>
        <w:tc>
          <w:tcPr>
            <w:tcW w:w="2963" w:type="dxa"/>
          </w:tcPr>
          <w:p w14:paraId="70382D7F" w14:textId="0181FD86" w:rsidR="0002181B" w:rsidRPr="00334F9E" w:rsidRDefault="0002181B" w:rsidP="0002181B">
            <w:pPr>
              <w:jc w:val="center"/>
              <w:rPr>
                <w:rFonts w:ascii="Arial" w:hAnsi="Arial" w:cs="Arial"/>
                <w:b/>
              </w:rPr>
            </w:pPr>
            <w:r w:rsidRPr="00334F9E">
              <w:rPr>
                <w:rFonts w:ascii="Arial" w:hAnsi="Arial" w:cs="Arial"/>
                <w:b/>
              </w:rPr>
              <w:t>ENERGY RATING INDEX WITH OPP</w:t>
            </w:r>
          </w:p>
        </w:tc>
      </w:tr>
      <w:tr w:rsidR="00334F9E" w:rsidRPr="00334F9E" w14:paraId="12C0E872" w14:textId="36364DEF" w:rsidTr="0002181B">
        <w:tc>
          <w:tcPr>
            <w:tcW w:w="3315" w:type="dxa"/>
            <w:shd w:val="clear" w:color="auto" w:fill="auto"/>
          </w:tcPr>
          <w:p w14:paraId="41A177E8" w14:textId="77777777" w:rsidR="0002181B" w:rsidRPr="00334F9E" w:rsidRDefault="0002181B" w:rsidP="0002181B">
            <w:pPr>
              <w:jc w:val="center"/>
              <w:rPr>
                <w:rFonts w:ascii="Arial" w:hAnsi="Arial" w:cs="Arial"/>
              </w:rPr>
            </w:pPr>
            <w:r w:rsidRPr="00334F9E">
              <w:rPr>
                <w:rFonts w:ascii="Arial" w:hAnsi="Arial" w:cs="Arial"/>
              </w:rPr>
              <w:t>2</w:t>
            </w:r>
          </w:p>
        </w:tc>
        <w:tc>
          <w:tcPr>
            <w:tcW w:w="3298" w:type="dxa"/>
            <w:shd w:val="clear" w:color="auto" w:fill="auto"/>
          </w:tcPr>
          <w:p w14:paraId="6A81DB24" w14:textId="65777175" w:rsidR="0002181B" w:rsidRPr="00334F9E" w:rsidRDefault="0002181B" w:rsidP="0002181B">
            <w:pPr>
              <w:jc w:val="center"/>
              <w:rPr>
                <w:rFonts w:ascii="Arial" w:hAnsi="Arial" w:cs="Arial"/>
              </w:rPr>
            </w:pPr>
            <w:r w:rsidRPr="00334F9E">
              <w:rPr>
                <w:rFonts w:ascii="Arial" w:hAnsi="Arial" w:cs="Arial"/>
                <w:strike/>
              </w:rPr>
              <w:t>51</w:t>
            </w:r>
            <w:r w:rsidRPr="00334F9E">
              <w:rPr>
                <w:rFonts w:ascii="Arial" w:hAnsi="Arial" w:cs="Arial"/>
              </w:rPr>
              <w:t xml:space="preserve"> 55</w:t>
            </w:r>
          </w:p>
        </w:tc>
        <w:tc>
          <w:tcPr>
            <w:tcW w:w="2963" w:type="dxa"/>
          </w:tcPr>
          <w:p w14:paraId="5C5899C5" w14:textId="0819CFD2" w:rsidR="0002181B" w:rsidRPr="00334F9E" w:rsidRDefault="0002181B" w:rsidP="0002181B">
            <w:pPr>
              <w:jc w:val="center"/>
              <w:rPr>
                <w:rFonts w:ascii="Arial" w:hAnsi="Arial" w:cs="Arial"/>
                <w:strike/>
              </w:rPr>
            </w:pPr>
            <w:r w:rsidRPr="00334F9E">
              <w:rPr>
                <w:rFonts w:ascii="Arial" w:hAnsi="Arial" w:cs="Arial"/>
                <w:strike/>
              </w:rPr>
              <w:t>34</w:t>
            </w:r>
          </w:p>
        </w:tc>
      </w:tr>
      <w:tr w:rsidR="00334F9E" w:rsidRPr="00334F9E" w14:paraId="2108C0F9" w14:textId="4E101380" w:rsidTr="0002181B">
        <w:tc>
          <w:tcPr>
            <w:tcW w:w="3315" w:type="dxa"/>
            <w:shd w:val="clear" w:color="auto" w:fill="auto"/>
          </w:tcPr>
          <w:p w14:paraId="0DA21444" w14:textId="77777777" w:rsidR="0002181B" w:rsidRPr="00334F9E" w:rsidRDefault="0002181B" w:rsidP="0002181B">
            <w:pPr>
              <w:jc w:val="center"/>
              <w:rPr>
                <w:rFonts w:ascii="Arial" w:hAnsi="Arial" w:cs="Arial"/>
              </w:rPr>
            </w:pPr>
            <w:r w:rsidRPr="00334F9E">
              <w:rPr>
                <w:rFonts w:ascii="Arial" w:hAnsi="Arial" w:cs="Arial"/>
              </w:rPr>
              <w:t>3</w:t>
            </w:r>
          </w:p>
        </w:tc>
        <w:tc>
          <w:tcPr>
            <w:tcW w:w="3298" w:type="dxa"/>
            <w:shd w:val="clear" w:color="auto" w:fill="auto"/>
          </w:tcPr>
          <w:p w14:paraId="1DF026AF" w14:textId="2450E1B0" w:rsidR="0002181B" w:rsidRPr="00334F9E" w:rsidRDefault="0002181B" w:rsidP="0002181B">
            <w:pPr>
              <w:jc w:val="center"/>
              <w:rPr>
                <w:rFonts w:ascii="Arial" w:hAnsi="Arial" w:cs="Arial"/>
              </w:rPr>
            </w:pPr>
            <w:r w:rsidRPr="00334F9E">
              <w:rPr>
                <w:rFonts w:ascii="Arial" w:hAnsi="Arial" w:cs="Arial"/>
                <w:strike/>
              </w:rPr>
              <w:t>50</w:t>
            </w:r>
            <w:r w:rsidRPr="00334F9E">
              <w:rPr>
                <w:rFonts w:ascii="Arial" w:hAnsi="Arial" w:cs="Arial"/>
              </w:rPr>
              <w:t xml:space="preserve"> 55</w:t>
            </w:r>
          </w:p>
        </w:tc>
        <w:tc>
          <w:tcPr>
            <w:tcW w:w="2963" w:type="dxa"/>
          </w:tcPr>
          <w:p w14:paraId="59C8F5C8" w14:textId="61465BD7" w:rsidR="0002181B" w:rsidRPr="00334F9E" w:rsidRDefault="0002181B" w:rsidP="0002181B">
            <w:pPr>
              <w:jc w:val="center"/>
              <w:rPr>
                <w:rFonts w:ascii="Arial" w:hAnsi="Arial" w:cs="Arial"/>
                <w:strike/>
              </w:rPr>
            </w:pPr>
            <w:r w:rsidRPr="00334F9E">
              <w:rPr>
                <w:rFonts w:ascii="Arial" w:hAnsi="Arial" w:cs="Arial"/>
                <w:strike/>
              </w:rPr>
              <w:t>33</w:t>
            </w:r>
          </w:p>
        </w:tc>
      </w:tr>
    </w:tbl>
    <w:p w14:paraId="67DFC92D" w14:textId="77777777" w:rsidR="009F0BF8" w:rsidRPr="00334F9E" w:rsidRDefault="009F0BF8" w:rsidP="009F0BF8">
      <w:pPr>
        <w:jc w:val="both"/>
        <w:rPr>
          <w:rFonts w:ascii="Arial" w:hAnsi="Arial" w:cs="Arial"/>
        </w:rPr>
      </w:pPr>
      <w:proofErr w:type="gramStart"/>
      <w:r w:rsidRPr="00334F9E">
        <w:rPr>
          <w:rFonts w:ascii="Arial" w:hAnsi="Arial" w:cs="Arial"/>
          <w:b/>
          <w:vertAlign w:val="superscript"/>
        </w:rPr>
        <w:t xml:space="preserve">4  </w:t>
      </w:r>
      <w:r w:rsidRPr="00334F9E">
        <w:rPr>
          <w:rFonts w:ascii="Arial" w:hAnsi="Arial" w:cs="Arial"/>
        </w:rPr>
        <w:t>This</w:t>
      </w:r>
      <w:proofErr w:type="gramEnd"/>
      <w:r w:rsidRPr="00334F9E">
        <w:rPr>
          <w:rFonts w:ascii="Arial" w:hAnsi="Arial" w:cs="Arial"/>
        </w:rPr>
        <w:t xml:space="preserve"> table is effective on or after September 1, 2028.</w:t>
      </w:r>
    </w:p>
    <w:p w14:paraId="0F35B072" w14:textId="77777777" w:rsidR="009F0BF8" w:rsidRPr="00334F9E" w:rsidRDefault="009F0BF8" w:rsidP="00E16F98">
      <w:pPr>
        <w:jc w:val="both"/>
        <w:rPr>
          <w:rFonts w:ascii="Arial" w:hAnsi="Arial" w:cs="Arial"/>
        </w:rPr>
      </w:pPr>
    </w:p>
    <w:p w14:paraId="19BECAE0" w14:textId="77777777" w:rsidR="00580930" w:rsidRPr="00334F9E" w:rsidRDefault="00F86073" w:rsidP="00C05FF4">
      <w:pPr>
        <w:jc w:val="both"/>
        <w:rPr>
          <w:rFonts w:ascii="Arial" w:hAnsi="Arial" w:cs="Arial"/>
        </w:rPr>
      </w:pPr>
      <w:r w:rsidRPr="00334F9E">
        <w:rPr>
          <w:rFonts w:ascii="Arial" w:hAnsi="Arial" w:cs="Arial"/>
          <w:i/>
        </w:rPr>
        <w:t xml:space="preserve">(Reason: </w:t>
      </w:r>
      <w:r w:rsidR="00E16F98" w:rsidRPr="00334F9E">
        <w:rPr>
          <w:rFonts w:ascii="Arial" w:hAnsi="Arial" w:cs="Arial"/>
          <w:i/>
        </w:rPr>
        <w:t xml:space="preserve">The tables reflect the values and </w:t>
      </w:r>
      <w:r w:rsidR="00351112" w:rsidRPr="00334F9E">
        <w:rPr>
          <w:rFonts w:ascii="Arial" w:hAnsi="Arial" w:cs="Arial"/>
          <w:i/>
        </w:rPr>
        <w:t>timetable</w:t>
      </w:r>
      <w:r w:rsidR="00E16F98" w:rsidRPr="00334F9E">
        <w:rPr>
          <w:rFonts w:ascii="Arial" w:hAnsi="Arial" w:cs="Arial"/>
          <w:i/>
        </w:rPr>
        <w:t xml:space="preserve"> set forth in HB</w:t>
      </w:r>
      <w:r w:rsidR="00351112" w:rsidRPr="00334F9E">
        <w:rPr>
          <w:rFonts w:ascii="Arial" w:hAnsi="Arial" w:cs="Arial"/>
          <w:i/>
        </w:rPr>
        <w:t xml:space="preserve"> 3215</w:t>
      </w:r>
      <w:r w:rsidR="00880B7A" w:rsidRPr="00334F9E">
        <w:rPr>
          <w:rFonts w:ascii="Arial" w:hAnsi="Arial" w:cs="Arial"/>
          <w:i/>
        </w:rPr>
        <w:t>, 8</w:t>
      </w:r>
      <w:r w:rsidR="00351112" w:rsidRPr="00334F9E">
        <w:rPr>
          <w:rFonts w:ascii="Arial" w:hAnsi="Arial" w:cs="Arial"/>
          <w:i/>
        </w:rPr>
        <w:t>7</w:t>
      </w:r>
      <w:r w:rsidR="00880B7A" w:rsidRPr="00334F9E">
        <w:rPr>
          <w:rFonts w:ascii="Arial" w:hAnsi="Arial" w:cs="Arial"/>
          <w:i/>
          <w:vertAlign w:val="superscript"/>
        </w:rPr>
        <w:t>th</w:t>
      </w:r>
      <w:r w:rsidR="00880B7A" w:rsidRPr="00334F9E">
        <w:rPr>
          <w:rFonts w:ascii="Arial" w:hAnsi="Arial" w:cs="Arial"/>
          <w:i/>
        </w:rPr>
        <w:t xml:space="preserve"> Regular Session</w:t>
      </w:r>
      <w:r w:rsidR="00D01869" w:rsidRPr="00334F9E">
        <w:rPr>
          <w:rFonts w:ascii="Arial" w:hAnsi="Arial" w:cs="Arial"/>
          <w:i/>
        </w:rPr>
        <w:t xml:space="preserve"> Codified in Chapter 388 Texas Building Energy Performance Standards: §388.003</w:t>
      </w:r>
      <w:r w:rsidR="00E16F98" w:rsidRPr="00334F9E">
        <w:rPr>
          <w:rFonts w:ascii="Arial" w:hAnsi="Arial" w:cs="Arial"/>
          <w:i/>
        </w:rPr>
        <w:t>.)</w:t>
      </w:r>
    </w:p>
    <w:p w14:paraId="72FA7A00" w14:textId="77777777" w:rsidR="002F24EA" w:rsidRPr="00334F9E" w:rsidRDefault="002F24EA" w:rsidP="002F24EA">
      <w:pPr>
        <w:shd w:val="clear" w:color="auto" w:fill="A0A0A0"/>
        <w:jc w:val="both"/>
        <w:rPr>
          <w:rFonts w:ascii="Arial" w:hAnsi="Arial" w:cs="Arial"/>
          <w:b/>
        </w:rPr>
      </w:pPr>
    </w:p>
    <w:p w14:paraId="5236990F" w14:textId="2E5CA5AF" w:rsidR="002F24EA" w:rsidRPr="00334F9E" w:rsidRDefault="002F24EA" w:rsidP="002F24EA">
      <w:pPr>
        <w:jc w:val="both"/>
        <w:rPr>
          <w:rFonts w:ascii="Arial" w:hAnsi="Arial" w:cs="Arial"/>
          <w:b/>
          <w:i/>
        </w:rPr>
      </w:pPr>
      <w:r w:rsidRPr="00334F9E">
        <w:rPr>
          <w:rFonts w:ascii="Arial" w:hAnsi="Arial" w:cs="Arial"/>
          <w:b/>
          <w:i/>
        </w:rPr>
        <w:t xml:space="preserve">*** Section R408 Additional Efficiency Requirements; deleted in entirety. </w:t>
      </w:r>
    </w:p>
    <w:p w14:paraId="32FCFD73" w14:textId="77777777" w:rsidR="002F24EA" w:rsidRPr="00334F9E" w:rsidRDefault="002F24EA" w:rsidP="002F24EA">
      <w:pPr>
        <w:jc w:val="both"/>
        <w:rPr>
          <w:rFonts w:ascii="Arial" w:hAnsi="Arial" w:cs="Arial"/>
          <w:b/>
          <w:i/>
        </w:rPr>
      </w:pPr>
    </w:p>
    <w:p w14:paraId="61F00D81" w14:textId="183449AB" w:rsidR="002F24EA" w:rsidRPr="00334F9E" w:rsidRDefault="002F24EA" w:rsidP="002F24EA">
      <w:pPr>
        <w:jc w:val="both"/>
        <w:rPr>
          <w:rFonts w:ascii="Arial" w:hAnsi="Arial" w:cs="Arial"/>
          <w:b/>
          <w:i/>
        </w:rPr>
      </w:pPr>
      <w:r w:rsidRPr="00334F9E">
        <w:rPr>
          <w:rFonts w:ascii="Arial" w:hAnsi="Arial" w:cs="Arial"/>
          <w:b/>
          <w:i/>
        </w:rPr>
        <w:t>(Reason: The deletion is based on the omission of reference to R408 in R401.2.1, and R408 conflicts with HB2439, 86th Regular Session.)</w:t>
      </w:r>
    </w:p>
    <w:p w14:paraId="4779B576" w14:textId="77777777" w:rsidR="00C05FF4" w:rsidRPr="00334F9E" w:rsidRDefault="00C05FF4" w:rsidP="00C05FF4">
      <w:pPr>
        <w:shd w:val="clear" w:color="auto" w:fill="A0A0A0"/>
        <w:jc w:val="both"/>
        <w:rPr>
          <w:rFonts w:ascii="Arial" w:hAnsi="Arial" w:cs="Arial"/>
          <w:b/>
        </w:rPr>
      </w:pPr>
    </w:p>
    <w:p w14:paraId="233351A7" w14:textId="02CD8EDA" w:rsidR="004F3970" w:rsidRPr="00F10CC8" w:rsidRDefault="004F3970" w:rsidP="004F3970">
      <w:pPr>
        <w:spacing w:before="100" w:beforeAutospacing="1" w:after="100" w:afterAutospacing="1" w:line="205" w:lineRule="atLeast"/>
        <w:rPr>
          <w:rFonts w:ascii="Arial" w:eastAsia="Calibri" w:hAnsi="Arial" w:cs="Arial"/>
        </w:rPr>
      </w:pPr>
      <w:proofErr w:type="gramStart"/>
      <w:r w:rsidRPr="00F10CC8">
        <w:rPr>
          <w:rFonts w:ascii="Arial" w:eastAsia="Calibri" w:hAnsi="Arial" w:cs="Arial"/>
          <w:b/>
          <w:bCs/>
        </w:rPr>
        <w:t>NOTE :</w:t>
      </w:r>
      <w:proofErr w:type="gramEnd"/>
      <w:r w:rsidRPr="00F10CC8">
        <w:rPr>
          <w:rFonts w:ascii="Arial" w:eastAsia="Calibri" w:hAnsi="Arial" w:cs="Arial"/>
          <w:b/>
          <w:bCs/>
        </w:rPr>
        <w:t xml:space="preserve"> HB 3215 was signed into law by the Governor on June 14, </w:t>
      </w:r>
      <w:proofErr w:type="gramStart"/>
      <w:r w:rsidRPr="00F10CC8">
        <w:rPr>
          <w:rFonts w:ascii="Arial" w:eastAsia="Calibri" w:hAnsi="Arial" w:cs="Arial"/>
          <w:b/>
          <w:bCs/>
        </w:rPr>
        <w:t>2021</w:t>
      </w:r>
      <w:proofErr w:type="gramEnd"/>
      <w:r w:rsidRPr="00F10CC8">
        <w:rPr>
          <w:rFonts w:ascii="Arial" w:eastAsia="Calibri" w:hAnsi="Arial" w:cs="Arial"/>
          <w:b/>
          <w:bCs/>
        </w:rPr>
        <w:t xml:space="preserve"> as part of the </w:t>
      </w:r>
      <w:r w:rsidRPr="00F10CC8">
        <w:rPr>
          <w:rFonts w:ascii="Arial" w:eastAsia="Calibri" w:hAnsi="Arial" w:cs="Arial"/>
          <w:b/>
          <w:bCs/>
          <w:i/>
          <w:iCs/>
        </w:rPr>
        <w:t>87</w:t>
      </w:r>
      <w:r w:rsidRPr="00F10CC8">
        <w:rPr>
          <w:rFonts w:ascii="Arial" w:eastAsia="Calibri" w:hAnsi="Arial" w:cs="Arial"/>
          <w:b/>
          <w:bCs/>
          <w:i/>
          <w:iCs/>
          <w:vertAlign w:val="superscript"/>
        </w:rPr>
        <w:t>th</w:t>
      </w:r>
      <w:r w:rsidRPr="00F10CC8">
        <w:rPr>
          <w:rFonts w:ascii="Arial" w:eastAsia="Calibri" w:hAnsi="Arial" w:cs="Arial"/>
          <w:b/>
          <w:bCs/>
          <w:i/>
          <w:iCs/>
        </w:rPr>
        <w:t> Regular Session</w:t>
      </w:r>
      <w:r w:rsidRPr="00F10CC8">
        <w:rPr>
          <w:rFonts w:ascii="Arial" w:eastAsia="Calibri" w:hAnsi="Arial" w:cs="Arial"/>
          <w:i/>
          <w:iCs/>
        </w:rPr>
        <w:t> Codified in Chapter 388 Texas Building Energy Performance Standards: §388.003 (</w:t>
      </w:r>
      <w:proofErr w:type="spellStart"/>
      <w:r w:rsidRPr="00F10CC8">
        <w:rPr>
          <w:rFonts w:ascii="Arial" w:eastAsia="Calibri" w:hAnsi="Arial" w:cs="Arial"/>
          <w:i/>
          <w:iCs/>
        </w:rPr>
        <w:t>i</w:t>
      </w:r>
      <w:proofErr w:type="spellEnd"/>
      <w:r w:rsidRPr="00F10CC8">
        <w:rPr>
          <w:rFonts w:ascii="Arial" w:eastAsia="Calibri" w:hAnsi="Arial" w:cs="Arial"/>
          <w:i/>
          <w:iCs/>
        </w:rPr>
        <w:t>), (j), and (k).  </w:t>
      </w:r>
      <w:r w:rsidRPr="00F10CC8">
        <w:rPr>
          <w:rFonts w:ascii="Arial" w:eastAsia="Calibri" w:hAnsi="Arial" w:cs="Arial"/>
        </w:rPr>
        <w:t>HB 3215 now allows a </w:t>
      </w:r>
      <w:r w:rsidRPr="00F10CC8">
        <w:rPr>
          <w:rFonts w:ascii="Arial" w:eastAsia="Calibri" w:hAnsi="Arial" w:cs="Arial"/>
          <w:b/>
          <w:bCs/>
        </w:rPr>
        <w:t>Home Energy Rating System Index (ex. HERS Index)</w:t>
      </w:r>
      <w:r w:rsidRPr="00F10CC8">
        <w:rPr>
          <w:rFonts w:ascii="Arial" w:eastAsia="Calibri" w:hAnsi="Arial" w:cs="Arial"/>
        </w:rPr>
        <w:t> utilizing ANSI/RESNET/ICC Standard 301 (as it existed on January 1, 2021) shall be considered in compliance with State law provided that:</w:t>
      </w:r>
    </w:p>
    <w:p w14:paraId="02D028B9" w14:textId="77777777" w:rsidR="004F3970" w:rsidRPr="00F10CC8" w:rsidRDefault="004F3970" w:rsidP="004F3970">
      <w:pPr>
        <w:spacing w:line="231" w:lineRule="atLeast"/>
        <w:ind w:left="1440"/>
        <w:rPr>
          <w:rFonts w:ascii="Arial" w:eastAsia="Calibri" w:hAnsi="Arial" w:cs="Arial"/>
        </w:rPr>
      </w:pPr>
      <w:r w:rsidRPr="00F10CC8">
        <w:rPr>
          <w:rFonts w:ascii="Arial" w:eastAsia="Calibri" w:hAnsi="Arial" w:cs="Arial"/>
        </w:rPr>
        <w:t>o    </w:t>
      </w:r>
      <w:proofErr w:type="gramStart"/>
      <w:r w:rsidRPr="00F10CC8">
        <w:rPr>
          <w:rFonts w:ascii="Arial" w:eastAsia="Calibri" w:hAnsi="Arial" w:cs="Arial"/>
          <w:i/>
          <w:iCs/>
        </w:rPr>
        <w:t>The</w:t>
      </w:r>
      <w:proofErr w:type="gramEnd"/>
      <w:r w:rsidRPr="00F10CC8">
        <w:rPr>
          <w:rFonts w:ascii="Arial" w:eastAsia="Calibri" w:hAnsi="Arial" w:cs="Arial"/>
          <w:i/>
          <w:iCs/>
        </w:rPr>
        <w:t xml:space="preserve"> home includes compliance with the Mandatory requirements of 2018 IECC Section R406.2.</w:t>
      </w:r>
    </w:p>
    <w:p w14:paraId="06B6E567" w14:textId="77777777" w:rsidR="004F3970" w:rsidRPr="00F10CC8" w:rsidRDefault="004F3970" w:rsidP="004F3970">
      <w:pPr>
        <w:spacing w:after="160" w:line="231" w:lineRule="atLeast"/>
        <w:ind w:left="1440"/>
        <w:rPr>
          <w:rFonts w:ascii="Arial" w:eastAsia="Calibri" w:hAnsi="Arial" w:cs="Arial"/>
        </w:rPr>
      </w:pPr>
      <w:r w:rsidRPr="00F10CC8">
        <w:rPr>
          <w:rFonts w:ascii="Arial" w:eastAsia="Calibri" w:hAnsi="Arial" w:cs="Arial"/>
        </w:rPr>
        <w:t>o    </w:t>
      </w:r>
      <w:r w:rsidRPr="00F10CC8">
        <w:rPr>
          <w:rFonts w:ascii="Arial" w:eastAsia="Calibri" w:hAnsi="Arial" w:cs="Arial"/>
          <w:i/>
          <w:iCs/>
        </w:rPr>
        <w:t> </w:t>
      </w:r>
      <w:proofErr w:type="gramStart"/>
      <w:r w:rsidRPr="00F10CC8">
        <w:rPr>
          <w:rFonts w:ascii="Arial" w:eastAsia="Calibri" w:hAnsi="Arial" w:cs="Arial"/>
          <w:i/>
          <w:iCs/>
        </w:rPr>
        <w:t>The</w:t>
      </w:r>
      <w:proofErr w:type="gramEnd"/>
      <w:r w:rsidRPr="00F10CC8">
        <w:rPr>
          <w:rFonts w:ascii="Arial" w:eastAsia="Calibri" w:hAnsi="Arial" w:cs="Arial"/>
          <w:i/>
          <w:iCs/>
        </w:rPr>
        <w:t xml:space="preserve"> home includes compliance with Building thermal envelope provisions of Table R402.1.2 or Table R402.1.4 of the 2018 IECC</w:t>
      </w:r>
    </w:p>
    <w:p w14:paraId="318B49A2" w14:textId="77777777" w:rsidR="004F3970" w:rsidRPr="00334F9E" w:rsidRDefault="004F3970" w:rsidP="00D631B9">
      <w:pPr>
        <w:rPr>
          <w:rFonts w:ascii="Arial" w:hAnsi="Arial" w:cs="Arial"/>
          <w:b/>
          <w:i/>
        </w:rPr>
      </w:pPr>
    </w:p>
    <w:p w14:paraId="47949293" w14:textId="77777777" w:rsidR="004F3970" w:rsidRPr="00334F9E" w:rsidRDefault="004F3970" w:rsidP="00D631B9">
      <w:pPr>
        <w:rPr>
          <w:rFonts w:ascii="Arial" w:hAnsi="Arial" w:cs="Arial"/>
          <w:b/>
          <w:i/>
        </w:rPr>
      </w:pPr>
    </w:p>
    <w:p w14:paraId="29C7EDFA" w14:textId="77777777" w:rsidR="004F3970" w:rsidRPr="00334F9E" w:rsidRDefault="004F3970" w:rsidP="00D631B9">
      <w:pPr>
        <w:rPr>
          <w:rFonts w:ascii="Arial" w:hAnsi="Arial" w:cs="Arial"/>
          <w:b/>
          <w:i/>
        </w:rPr>
      </w:pPr>
    </w:p>
    <w:p w14:paraId="24357E58" w14:textId="380FE4E6" w:rsidR="004F3970" w:rsidRPr="00334F9E" w:rsidRDefault="00AD6426" w:rsidP="00BE5D43">
      <w:pPr>
        <w:jc w:val="center"/>
        <w:rPr>
          <w:rFonts w:ascii="Arial" w:hAnsi="Arial" w:cs="Arial"/>
          <w:b/>
          <w:i/>
        </w:rPr>
      </w:pPr>
      <w:r w:rsidRPr="00334F9E">
        <w:rPr>
          <w:rFonts w:ascii="Arial" w:hAnsi="Arial" w:cs="Arial"/>
          <w:b/>
          <w:i/>
        </w:rPr>
        <w:t>END</w:t>
      </w:r>
    </w:p>
    <w:sectPr w:rsidR="004F3970" w:rsidRPr="00334F9E" w:rsidSect="00A34C62">
      <w:headerReference w:type="default" r:id="rId8"/>
      <w:footerReference w:type="default" r:id="rId9"/>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E254" w14:textId="77777777" w:rsidR="00144D64" w:rsidRDefault="00144D64" w:rsidP="000245BB">
      <w:r>
        <w:separator/>
      </w:r>
    </w:p>
  </w:endnote>
  <w:endnote w:type="continuationSeparator" w:id="0">
    <w:p w14:paraId="18B29ADF" w14:textId="77777777" w:rsidR="00144D64" w:rsidRDefault="00144D64" w:rsidP="0002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0C63" w14:textId="4863A9A9" w:rsidR="00F9262A" w:rsidRPr="005C06E4" w:rsidRDefault="000056E5">
    <w:pPr>
      <w:pStyle w:val="Footer"/>
      <w:jc w:val="center"/>
      <w:rPr>
        <w:rFonts w:ascii="Arial" w:hAnsi="Arial" w:cs="Arial"/>
      </w:rPr>
    </w:pPr>
    <w:r w:rsidRPr="005C06E4">
      <w:rPr>
        <w:rFonts w:ascii="Arial" w:hAnsi="Arial" w:cs="Arial"/>
        <w:noProof/>
      </w:rPr>
      <mc:AlternateContent>
        <mc:Choice Requires="wps">
          <w:drawing>
            <wp:anchor distT="45720" distB="45720" distL="114300" distR="114300" simplePos="0" relativeHeight="251657728" behindDoc="0" locked="0" layoutInCell="1" allowOverlap="1" wp14:anchorId="0FB6711D" wp14:editId="240E01B1">
              <wp:simplePos x="0" y="0"/>
              <wp:positionH relativeFrom="column">
                <wp:posOffset>3263265</wp:posOffset>
              </wp:positionH>
              <wp:positionV relativeFrom="paragraph">
                <wp:posOffset>-50165</wp:posOffset>
              </wp:positionV>
              <wp:extent cx="2804160" cy="429895"/>
              <wp:effectExtent l="0" t="0" r="0" b="1270"/>
              <wp:wrapSquare wrapText="bothSides"/>
              <wp:docPr id="1209954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BD106" w14:textId="495C1A3D" w:rsidR="00F9262A" w:rsidRPr="00A210D8" w:rsidRDefault="006B42E9" w:rsidP="00F9262A">
                          <w:pPr>
                            <w:jc w:val="right"/>
                            <w:rPr>
                              <w:rFonts w:ascii="Arial" w:hAnsi="Arial" w:cs="Arial"/>
                            </w:rPr>
                          </w:pPr>
                          <w:r>
                            <w:rPr>
                              <w:rFonts w:ascii="Arial" w:hAnsi="Arial" w:cs="Arial"/>
                            </w:rPr>
                            <w:t>Final – Approved March 2025</w:t>
                          </w:r>
                        </w:p>
                        <w:p w14:paraId="5BCEB2C9" w14:textId="55CABE21" w:rsidR="00F9262A" w:rsidRPr="00A210D8" w:rsidRDefault="00F9262A" w:rsidP="00F9262A">
                          <w:pPr>
                            <w:jc w:val="right"/>
                            <w:rPr>
                              <w:rFonts w:ascii="Arial" w:hAnsi="Arial" w:cs="Arial"/>
                            </w:rPr>
                          </w:pPr>
                          <w:r w:rsidRPr="00A210D8">
                            <w:rPr>
                              <w:rFonts w:ascii="Arial" w:hAnsi="Arial" w:cs="Arial"/>
                            </w:rPr>
                            <w:t>20</w:t>
                          </w:r>
                          <w:r w:rsidR="00D631B9">
                            <w:rPr>
                              <w:rFonts w:ascii="Arial" w:hAnsi="Arial" w:cs="Arial"/>
                            </w:rPr>
                            <w:t>2</w:t>
                          </w:r>
                          <w:r w:rsidR="003D0083">
                            <w:rPr>
                              <w:rFonts w:ascii="Arial" w:hAnsi="Arial" w:cs="Arial"/>
                            </w:rPr>
                            <w:t>4</w:t>
                          </w:r>
                          <w:r w:rsidRPr="00A210D8">
                            <w:rPr>
                              <w:rFonts w:ascii="Arial" w:hAnsi="Arial" w:cs="Arial"/>
                            </w:rPr>
                            <w:t xml:space="preserve"> International Energy Conservation Code</w:t>
                          </w:r>
                        </w:p>
                        <w:p w14:paraId="23ADC088" w14:textId="77777777" w:rsidR="00F9262A" w:rsidRDefault="00F92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6711D" id="_x0000_t202" coordsize="21600,21600" o:spt="202" path="m,l,21600r21600,l21600,xe">
              <v:stroke joinstyle="miter"/>
              <v:path gradientshapeok="t" o:connecttype="rect"/>
            </v:shapetype>
            <v:shape id="Text Box 2" o:spid="_x0000_s1026" type="#_x0000_t202" style="position:absolute;left:0;text-align:left;margin-left:256.95pt;margin-top:-3.95pt;width:220.8pt;height:3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" stroked="f">
              <v:textbox>
                <w:txbxContent>
                  <w:p w14:paraId="523BD106" w14:textId="495C1A3D" w:rsidR="00F9262A" w:rsidRPr="00A210D8" w:rsidRDefault="006B42E9" w:rsidP="00F9262A">
                    <w:pPr>
                      <w:jc w:val="right"/>
                      <w:rPr>
                        <w:rFonts w:ascii="Arial" w:hAnsi="Arial" w:cs="Arial"/>
                      </w:rPr>
                    </w:pPr>
                    <w:r>
                      <w:rPr>
                        <w:rFonts w:ascii="Arial" w:hAnsi="Arial" w:cs="Arial"/>
                      </w:rPr>
                      <w:t>Final – Approved March 2025</w:t>
                    </w:r>
                  </w:p>
                  <w:p w14:paraId="5BCEB2C9" w14:textId="55CABE21" w:rsidR="00F9262A" w:rsidRPr="00A210D8" w:rsidRDefault="00F9262A" w:rsidP="00F9262A">
                    <w:pPr>
                      <w:jc w:val="right"/>
                      <w:rPr>
                        <w:rFonts w:ascii="Arial" w:hAnsi="Arial" w:cs="Arial"/>
                      </w:rPr>
                    </w:pPr>
                    <w:r w:rsidRPr="00A210D8">
                      <w:rPr>
                        <w:rFonts w:ascii="Arial" w:hAnsi="Arial" w:cs="Arial"/>
                      </w:rPr>
                      <w:t>20</w:t>
                    </w:r>
                    <w:r w:rsidR="00D631B9">
                      <w:rPr>
                        <w:rFonts w:ascii="Arial" w:hAnsi="Arial" w:cs="Arial"/>
                      </w:rPr>
                      <w:t>2</w:t>
                    </w:r>
                    <w:r w:rsidR="003D0083">
                      <w:rPr>
                        <w:rFonts w:ascii="Arial" w:hAnsi="Arial" w:cs="Arial"/>
                      </w:rPr>
                      <w:t>4</w:t>
                    </w:r>
                    <w:r w:rsidRPr="00A210D8">
                      <w:rPr>
                        <w:rFonts w:ascii="Arial" w:hAnsi="Arial" w:cs="Arial"/>
                      </w:rPr>
                      <w:t xml:space="preserve"> International Energy Conservation Code</w:t>
                    </w:r>
                  </w:p>
                  <w:p w14:paraId="23ADC088" w14:textId="77777777" w:rsidR="00F9262A" w:rsidRDefault="00F9262A"/>
                </w:txbxContent>
              </v:textbox>
              <w10:wrap type="square"/>
            </v:shape>
          </w:pict>
        </mc:Fallback>
      </mc:AlternateContent>
    </w:r>
    <w:r w:rsidRPr="005C06E4">
      <w:rPr>
        <w:rFonts w:ascii="Arial" w:hAnsi="Arial" w:cs="Arial"/>
        <w:noProof/>
      </w:rPr>
      <mc:AlternateContent>
        <mc:Choice Requires="wps">
          <w:drawing>
            <wp:anchor distT="45720" distB="45720" distL="114300" distR="114300" simplePos="0" relativeHeight="251656704" behindDoc="0" locked="0" layoutInCell="1" allowOverlap="1" wp14:anchorId="651E309D" wp14:editId="46B872EF">
              <wp:simplePos x="0" y="0"/>
              <wp:positionH relativeFrom="column">
                <wp:posOffset>-161925</wp:posOffset>
              </wp:positionH>
              <wp:positionV relativeFrom="paragraph">
                <wp:posOffset>-60325</wp:posOffset>
              </wp:positionV>
              <wp:extent cx="2376170" cy="429895"/>
              <wp:effectExtent l="0" t="0" r="1270" b="1905"/>
              <wp:wrapSquare wrapText="bothSides"/>
              <wp:docPr id="1061196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5A44F" w14:textId="77777777" w:rsidR="00F9262A" w:rsidRPr="00A210D8" w:rsidRDefault="00F9262A" w:rsidP="00F9262A">
                          <w:pPr>
                            <w:rPr>
                              <w:rFonts w:ascii="Arial" w:hAnsi="Arial" w:cs="Arial"/>
                            </w:rPr>
                          </w:pPr>
                          <w:r w:rsidRPr="00A210D8">
                            <w:rPr>
                              <w:rFonts w:ascii="Arial" w:hAnsi="Arial" w:cs="Arial"/>
                            </w:rPr>
                            <w:t>North Centr</w:t>
                          </w:r>
                          <w:r>
                            <w:rPr>
                              <w:rFonts w:ascii="Arial" w:hAnsi="Arial" w:cs="Arial"/>
                            </w:rPr>
                            <w:t>al Texas Council of Governments Amendments</w:t>
                          </w:r>
                          <w:r w:rsidRPr="00A210D8">
                            <w:rPr>
                              <w:rFonts w:ascii="Arial" w:hAnsi="Arial" w:cs="Arial"/>
                            </w:rPr>
                            <w:tab/>
                          </w:r>
                        </w:p>
                        <w:p w14:paraId="552D5A31" w14:textId="77777777" w:rsidR="00F9262A" w:rsidRDefault="00F9262A"/>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51E309D" id="_x0000_s1027" type="#_x0000_t202" style="position:absolute;left:0;text-align:left;margin-left:-12.75pt;margin-top:-4.75pt;width:187.1pt;height:33.8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" stroked="f">
              <v:textbox>
                <w:txbxContent>
                  <w:p w14:paraId="6D75A44F" w14:textId="77777777" w:rsidR="00F9262A" w:rsidRPr="00A210D8" w:rsidRDefault="00F9262A" w:rsidP="00F9262A">
                    <w:pPr>
                      <w:rPr>
                        <w:rFonts w:ascii="Arial" w:hAnsi="Arial" w:cs="Arial"/>
                      </w:rPr>
                    </w:pPr>
                    <w:r w:rsidRPr="00A210D8">
                      <w:rPr>
                        <w:rFonts w:ascii="Arial" w:hAnsi="Arial" w:cs="Arial"/>
                      </w:rPr>
                      <w:t>North Centr</w:t>
                    </w:r>
                    <w:r>
                      <w:rPr>
                        <w:rFonts w:ascii="Arial" w:hAnsi="Arial" w:cs="Arial"/>
                      </w:rPr>
                      <w:t>al Texas Council of Governments Amendments</w:t>
                    </w:r>
                    <w:r w:rsidRPr="00A210D8">
                      <w:rPr>
                        <w:rFonts w:ascii="Arial" w:hAnsi="Arial" w:cs="Arial"/>
                      </w:rPr>
                      <w:tab/>
                    </w:r>
                  </w:p>
                  <w:p w14:paraId="552D5A31" w14:textId="77777777" w:rsidR="00F9262A" w:rsidRDefault="00F9262A"/>
                </w:txbxContent>
              </v:textbox>
              <w10:wrap type="square"/>
            </v:shape>
          </w:pict>
        </mc:Fallback>
      </mc:AlternateContent>
    </w:r>
    <w:r w:rsidR="00F9262A" w:rsidRPr="005C06E4">
      <w:rPr>
        <w:rFonts w:ascii="Arial" w:hAnsi="Arial" w:cs="Arial"/>
      </w:rPr>
      <w:fldChar w:fldCharType="begin"/>
    </w:r>
    <w:r w:rsidR="00F9262A" w:rsidRPr="005C06E4">
      <w:rPr>
        <w:rFonts w:ascii="Arial" w:hAnsi="Arial" w:cs="Arial"/>
      </w:rPr>
      <w:instrText xml:space="preserve"> PAGE   \* MERGEFORMAT </w:instrText>
    </w:r>
    <w:r w:rsidR="00F9262A" w:rsidRPr="005C06E4">
      <w:rPr>
        <w:rFonts w:ascii="Arial" w:hAnsi="Arial" w:cs="Arial"/>
      </w:rPr>
      <w:fldChar w:fldCharType="separate"/>
    </w:r>
    <w:r w:rsidR="00937329">
      <w:rPr>
        <w:rFonts w:ascii="Arial" w:hAnsi="Arial" w:cs="Arial"/>
        <w:noProof/>
      </w:rPr>
      <w:t>9</w:t>
    </w:r>
    <w:r w:rsidR="00F9262A" w:rsidRPr="005C06E4">
      <w:rPr>
        <w:rFonts w:ascii="Arial" w:hAnsi="Arial" w:cs="Arial"/>
        <w:noProof/>
      </w:rPr>
      <w:fldChar w:fldCharType="end"/>
    </w:r>
  </w:p>
  <w:p w14:paraId="5CBBFDF1" w14:textId="77777777" w:rsidR="00F9262A" w:rsidRPr="00F9262A" w:rsidRDefault="00F9262A" w:rsidP="00F9262A">
    <w:pPr>
      <w:pStyle w:val="Footer"/>
      <w:tabs>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B094" w14:textId="77777777" w:rsidR="00144D64" w:rsidRDefault="00144D64" w:rsidP="000245BB">
      <w:r>
        <w:separator/>
      </w:r>
    </w:p>
  </w:footnote>
  <w:footnote w:type="continuationSeparator" w:id="0">
    <w:p w14:paraId="3DF34BA3" w14:textId="77777777" w:rsidR="00144D64" w:rsidRDefault="00144D64" w:rsidP="0002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750F" w14:textId="2F1ED40A" w:rsidR="00DC04BC" w:rsidRDefault="000056E5" w:rsidP="00C256D3">
    <w:pPr>
      <w:pStyle w:val="Header"/>
      <w:jc w:val="center"/>
    </w:pPr>
    <w:r>
      <w:rPr>
        <w:noProof/>
      </w:rPr>
      <w:drawing>
        <wp:inline distT="0" distB="0" distL="0" distR="0" wp14:anchorId="51DA2898" wp14:editId="7C6EA414">
          <wp:extent cx="132397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1F64"/>
    <w:multiLevelType w:val="hybridMultilevel"/>
    <w:tmpl w:val="DB062E6E"/>
    <w:lvl w:ilvl="0" w:tplc="AEA44F88">
      <w:start w:val="1"/>
      <w:numFmt w:val="decimal"/>
      <w:lvlText w:val="%1."/>
      <w:lvlJc w:val="left"/>
      <w:pPr>
        <w:ind w:left="720" w:hanging="360"/>
      </w:pPr>
      <w:rPr>
        <w:rFonts w:ascii="Arial" w:eastAsia="Times New Roman"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352"/>
    <w:multiLevelType w:val="hybridMultilevel"/>
    <w:tmpl w:val="BAC47ABC"/>
    <w:lvl w:ilvl="0" w:tplc="0409000F">
      <w:start w:val="1"/>
      <w:numFmt w:val="decimal"/>
      <w:lvlText w:val="%1."/>
      <w:lvlJc w:val="left"/>
      <w:pPr>
        <w:ind w:left="720" w:hanging="360"/>
      </w:pPr>
      <w:rPr>
        <w:rFonts w:hint="default"/>
      </w:rPr>
    </w:lvl>
    <w:lvl w:ilvl="1" w:tplc="EA0C8AD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2ABD"/>
    <w:multiLevelType w:val="multilevel"/>
    <w:tmpl w:val="7BBA27DE"/>
    <w:lvl w:ilvl="0">
      <w:start w:val="1"/>
      <w:numFmt w:val="decimal"/>
      <w:lvlText w:val="%1."/>
      <w:lvlJc w:val="left"/>
      <w:pPr>
        <w:tabs>
          <w:tab w:val="left" w:pos="288"/>
        </w:tabs>
      </w:pPr>
      <w:rPr>
        <w:rFonts w:ascii="Arial" w:eastAsia="Arial" w:hAnsi="Arial"/>
        <w:color w:val="auto"/>
        <w:spacing w:val="0"/>
        <w:w w:val="100"/>
        <w:sz w:val="20"/>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0321E"/>
    <w:multiLevelType w:val="hybridMultilevel"/>
    <w:tmpl w:val="8D16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B4849"/>
    <w:multiLevelType w:val="hybridMultilevel"/>
    <w:tmpl w:val="08226846"/>
    <w:lvl w:ilvl="0" w:tplc="AEA44F88">
      <w:start w:val="1"/>
      <w:numFmt w:val="decimal"/>
      <w:lvlText w:val="%1."/>
      <w:lvlJc w:val="left"/>
      <w:pPr>
        <w:ind w:left="720" w:hanging="360"/>
      </w:pPr>
      <w:rPr>
        <w:rFonts w:ascii="Arial" w:eastAsia="Times New Roman"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13F65"/>
    <w:multiLevelType w:val="hybridMultilevel"/>
    <w:tmpl w:val="651AF66E"/>
    <w:lvl w:ilvl="0" w:tplc="6636A48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856C7"/>
    <w:multiLevelType w:val="hybridMultilevel"/>
    <w:tmpl w:val="4CFA7CCE"/>
    <w:lvl w:ilvl="0" w:tplc="FBE2B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94C1D"/>
    <w:multiLevelType w:val="hybridMultilevel"/>
    <w:tmpl w:val="52CA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05B19"/>
    <w:multiLevelType w:val="hybridMultilevel"/>
    <w:tmpl w:val="82EC186E"/>
    <w:lvl w:ilvl="0" w:tplc="7578E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B089B"/>
    <w:multiLevelType w:val="hybridMultilevel"/>
    <w:tmpl w:val="7C009ED8"/>
    <w:lvl w:ilvl="0" w:tplc="FC74B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B3017"/>
    <w:multiLevelType w:val="hybridMultilevel"/>
    <w:tmpl w:val="E83248CA"/>
    <w:lvl w:ilvl="0" w:tplc="E6E2F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545EA"/>
    <w:multiLevelType w:val="hybridMultilevel"/>
    <w:tmpl w:val="248A3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FB6B6B"/>
    <w:multiLevelType w:val="hybridMultilevel"/>
    <w:tmpl w:val="549EADF2"/>
    <w:lvl w:ilvl="0" w:tplc="2FC4FE3E">
      <w:start w:val="1"/>
      <w:numFmt w:val="decimal"/>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904B1"/>
    <w:multiLevelType w:val="hybridMultilevel"/>
    <w:tmpl w:val="C8AE41D8"/>
    <w:lvl w:ilvl="0" w:tplc="7CE4AECE">
      <w:start w:val="1"/>
      <w:numFmt w:val="decimal"/>
      <w:lvlText w:val="%1."/>
      <w:lvlJc w:val="left"/>
      <w:pPr>
        <w:ind w:left="1660" w:hanging="360"/>
      </w:pPr>
      <w:rPr>
        <w:rFonts w:ascii="Calibri" w:eastAsia="Calibri" w:hAnsi="Calibri" w:cs="Calibri" w:hint="default"/>
        <w:spacing w:val="-3"/>
        <w:w w:val="100"/>
        <w:sz w:val="24"/>
        <w:szCs w:val="24"/>
      </w:rPr>
    </w:lvl>
    <w:lvl w:ilvl="1" w:tplc="92AC38F6">
      <w:start w:val="1"/>
      <w:numFmt w:val="lowerLetter"/>
      <w:lvlText w:val="%2."/>
      <w:lvlJc w:val="left"/>
      <w:pPr>
        <w:ind w:left="2380" w:hanging="360"/>
      </w:pPr>
      <w:rPr>
        <w:rFonts w:ascii="Calibri" w:eastAsia="Calibri" w:hAnsi="Calibri" w:cs="Calibri" w:hint="default"/>
        <w:spacing w:val="-3"/>
        <w:w w:val="100"/>
        <w:sz w:val="24"/>
        <w:szCs w:val="24"/>
      </w:rPr>
    </w:lvl>
    <w:lvl w:ilvl="2" w:tplc="7FD8FF6C">
      <w:numFmt w:val="bullet"/>
      <w:lvlText w:val="•"/>
      <w:lvlJc w:val="left"/>
      <w:pPr>
        <w:ind w:left="3273" w:hanging="360"/>
      </w:pPr>
      <w:rPr>
        <w:rFonts w:hint="default"/>
      </w:rPr>
    </w:lvl>
    <w:lvl w:ilvl="3" w:tplc="665C6EDC">
      <w:numFmt w:val="bullet"/>
      <w:lvlText w:val="•"/>
      <w:lvlJc w:val="left"/>
      <w:pPr>
        <w:ind w:left="4166" w:hanging="360"/>
      </w:pPr>
      <w:rPr>
        <w:rFonts w:hint="default"/>
      </w:rPr>
    </w:lvl>
    <w:lvl w:ilvl="4" w:tplc="4620C97A">
      <w:numFmt w:val="bullet"/>
      <w:lvlText w:val="•"/>
      <w:lvlJc w:val="left"/>
      <w:pPr>
        <w:ind w:left="5060" w:hanging="360"/>
      </w:pPr>
      <w:rPr>
        <w:rFonts w:hint="default"/>
      </w:rPr>
    </w:lvl>
    <w:lvl w:ilvl="5" w:tplc="099E5748">
      <w:numFmt w:val="bullet"/>
      <w:lvlText w:val="•"/>
      <w:lvlJc w:val="left"/>
      <w:pPr>
        <w:ind w:left="5953" w:hanging="360"/>
      </w:pPr>
      <w:rPr>
        <w:rFonts w:hint="default"/>
      </w:rPr>
    </w:lvl>
    <w:lvl w:ilvl="6" w:tplc="E9088900">
      <w:numFmt w:val="bullet"/>
      <w:lvlText w:val="•"/>
      <w:lvlJc w:val="left"/>
      <w:pPr>
        <w:ind w:left="6846" w:hanging="360"/>
      </w:pPr>
      <w:rPr>
        <w:rFonts w:hint="default"/>
      </w:rPr>
    </w:lvl>
    <w:lvl w:ilvl="7" w:tplc="5636D612">
      <w:numFmt w:val="bullet"/>
      <w:lvlText w:val="•"/>
      <w:lvlJc w:val="left"/>
      <w:pPr>
        <w:ind w:left="7740" w:hanging="360"/>
      </w:pPr>
      <w:rPr>
        <w:rFonts w:hint="default"/>
      </w:rPr>
    </w:lvl>
    <w:lvl w:ilvl="8" w:tplc="23E8CDF4">
      <w:numFmt w:val="bullet"/>
      <w:lvlText w:val="•"/>
      <w:lvlJc w:val="left"/>
      <w:pPr>
        <w:ind w:left="8633" w:hanging="360"/>
      </w:pPr>
      <w:rPr>
        <w:rFonts w:hint="default"/>
      </w:rPr>
    </w:lvl>
  </w:abstractNum>
  <w:abstractNum w:abstractNumId="14" w15:restartNumberingAfterBreak="0">
    <w:nsid w:val="620D6493"/>
    <w:multiLevelType w:val="hybridMultilevel"/>
    <w:tmpl w:val="80C0B606"/>
    <w:lvl w:ilvl="0" w:tplc="B9428840">
      <w:start w:val="1"/>
      <w:numFmt w:val="decimal"/>
      <w:lvlText w:val="%1."/>
      <w:lvlJc w:val="left"/>
      <w:pPr>
        <w:tabs>
          <w:tab w:val="num" w:pos="1800"/>
        </w:tabs>
        <w:ind w:left="1800" w:hanging="36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670738D9"/>
    <w:multiLevelType w:val="hybridMultilevel"/>
    <w:tmpl w:val="E176EFAE"/>
    <w:lvl w:ilvl="0" w:tplc="8ED89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533746">
    <w:abstractNumId w:val="14"/>
  </w:num>
  <w:num w:numId="2" w16cid:durableId="450710028">
    <w:abstractNumId w:val="4"/>
  </w:num>
  <w:num w:numId="3" w16cid:durableId="2006860317">
    <w:abstractNumId w:val="3"/>
  </w:num>
  <w:num w:numId="4" w16cid:durableId="331303887">
    <w:abstractNumId w:val="13"/>
  </w:num>
  <w:num w:numId="5" w16cid:durableId="67265521">
    <w:abstractNumId w:val="5"/>
  </w:num>
  <w:num w:numId="6" w16cid:durableId="1364666929">
    <w:abstractNumId w:val="12"/>
  </w:num>
  <w:num w:numId="7" w16cid:durableId="1586455581">
    <w:abstractNumId w:val="0"/>
  </w:num>
  <w:num w:numId="8" w16cid:durableId="32468838">
    <w:abstractNumId w:val="10"/>
  </w:num>
  <w:num w:numId="9" w16cid:durableId="1688747897">
    <w:abstractNumId w:val="9"/>
  </w:num>
  <w:num w:numId="10" w16cid:durableId="877470513">
    <w:abstractNumId w:val="11"/>
  </w:num>
  <w:num w:numId="11" w16cid:durableId="1355224832">
    <w:abstractNumId w:val="15"/>
  </w:num>
  <w:num w:numId="12" w16cid:durableId="341592948">
    <w:abstractNumId w:val="2"/>
  </w:num>
  <w:num w:numId="13" w16cid:durableId="1679426512">
    <w:abstractNumId w:val="6"/>
  </w:num>
  <w:num w:numId="14" w16cid:durableId="635112883">
    <w:abstractNumId w:val="8"/>
  </w:num>
  <w:num w:numId="15" w16cid:durableId="734353824">
    <w:abstractNumId w:val="7"/>
  </w:num>
  <w:num w:numId="16" w16cid:durableId="572273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B8"/>
    <w:rsid w:val="00002C0A"/>
    <w:rsid w:val="00002F55"/>
    <w:rsid w:val="000056E5"/>
    <w:rsid w:val="000066E4"/>
    <w:rsid w:val="00007C6D"/>
    <w:rsid w:val="0002181B"/>
    <w:rsid w:val="00021B04"/>
    <w:rsid w:val="00023CE4"/>
    <w:rsid w:val="000245BB"/>
    <w:rsid w:val="00033E91"/>
    <w:rsid w:val="00037F2C"/>
    <w:rsid w:val="000412D4"/>
    <w:rsid w:val="0004621F"/>
    <w:rsid w:val="0004747A"/>
    <w:rsid w:val="00047A40"/>
    <w:rsid w:val="00056EA0"/>
    <w:rsid w:val="000601F9"/>
    <w:rsid w:val="000700E9"/>
    <w:rsid w:val="00075E5A"/>
    <w:rsid w:val="000771D1"/>
    <w:rsid w:val="000829D2"/>
    <w:rsid w:val="00084A51"/>
    <w:rsid w:val="0009267B"/>
    <w:rsid w:val="000A05DF"/>
    <w:rsid w:val="000A1B60"/>
    <w:rsid w:val="000A7BBF"/>
    <w:rsid w:val="000B3E38"/>
    <w:rsid w:val="000B47CF"/>
    <w:rsid w:val="000C3CC8"/>
    <w:rsid w:val="000D356A"/>
    <w:rsid w:val="001020CF"/>
    <w:rsid w:val="00107955"/>
    <w:rsid w:val="00115E92"/>
    <w:rsid w:val="0011614D"/>
    <w:rsid w:val="0012046C"/>
    <w:rsid w:val="001261A0"/>
    <w:rsid w:val="00126C3F"/>
    <w:rsid w:val="00133DBC"/>
    <w:rsid w:val="001369AF"/>
    <w:rsid w:val="00136A84"/>
    <w:rsid w:val="001377BD"/>
    <w:rsid w:val="001406E2"/>
    <w:rsid w:val="00144D64"/>
    <w:rsid w:val="00145F36"/>
    <w:rsid w:val="00146817"/>
    <w:rsid w:val="00150CA1"/>
    <w:rsid w:val="00153652"/>
    <w:rsid w:val="00155A6F"/>
    <w:rsid w:val="00161D2A"/>
    <w:rsid w:val="001703F2"/>
    <w:rsid w:val="0017050F"/>
    <w:rsid w:val="001814BA"/>
    <w:rsid w:val="00182443"/>
    <w:rsid w:val="001853D5"/>
    <w:rsid w:val="001A705B"/>
    <w:rsid w:val="001B35F3"/>
    <w:rsid w:val="001B5CCA"/>
    <w:rsid w:val="001C60CF"/>
    <w:rsid w:val="001F546A"/>
    <w:rsid w:val="0022205C"/>
    <w:rsid w:val="00222FD7"/>
    <w:rsid w:val="00233208"/>
    <w:rsid w:val="00233E03"/>
    <w:rsid w:val="00236032"/>
    <w:rsid w:val="00240E57"/>
    <w:rsid w:val="00245247"/>
    <w:rsid w:val="0025322A"/>
    <w:rsid w:val="00256E02"/>
    <w:rsid w:val="00257CA7"/>
    <w:rsid w:val="00257E68"/>
    <w:rsid w:val="0026133F"/>
    <w:rsid w:val="00263D54"/>
    <w:rsid w:val="00266F2F"/>
    <w:rsid w:val="0026760F"/>
    <w:rsid w:val="00271355"/>
    <w:rsid w:val="00282D64"/>
    <w:rsid w:val="0029787F"/>
    <w:rsid w:val="002A0873"/>
    <w:rsid w:val="002A2CD6"/>
    <w:rsid w:val="002A6B9F"/>
    <w:rsid w:val="002C0A43"/>
    <w:rsid w:val="002C11FB"/>
    <w:rsid w:val="002C4680"/>
    <w:rsid w:val="002C6881"/>
    <w:rsid w:val="002D3F53"/>
    <w:rsid w:val="002F24EA"/>
    <w:rsid w:val="002F6A11"/>
    <w:rsid w:val="002F7BFC"/>
    <w:rsid w:val="00314B94"/>
    <w:rsid w:val="00314F3A"/>
    <w:rsid w:val="003160DA"/>
    <w:rsid w:val="00327350"/>
    <w:rsid w:val="00327C71"/>
    <w:rsid w:val="00334F9E"/>
    <w:rsid w:val="00344218"/>
    <w:rsid w:val="00351112"/>
    <w:rsid w:val="003529CB"/>
    <w:rsid w:val="00362560"/>
    <w:rsid w:val="00377572"/>
    <w:rsid w:val="0039736F"/>
    <w:rsid w:val="003A0B53"/>
    <w:rsid w:val="003B0611"/>
    <w:rsid w:val="003B2A7D"/>
    <w:rsid w:val="003B7225"/>
    <w:rsid w:val="003C3C10"/>
    <w:rsid w:val="003C6B0C"/>
    <w:rsid w:val="003D0083"/>
    <w:rsid w:val="003E1376"/>
    <w:rsid w:val="003E6752"/>
    <w:rsid w:val="003F74A7"/>
    <w:rsid w:val="004013AC"/>
    <w:rsid w:val="004031F5"/>
    <w:rsid w:val="004032FB"/>
    <w:rsid w:val="00405C18"/>
    <w:rsid w:val="004127BA"/>
    <w:rsid w:val="00412829"/>
    <w:rsid w:val="0041286E"/>
    <w:rsid w:val="00414F22"/>
    <w:rsid w:val="00424351"/>
    <w:rsid w:val="00424420"/>
    <w:rsid w:val="004372CF"/>
    <w:rsid w:val="004409CA"/>
    <w:rsid w:val="0044331A"/>
    <w:rsid w:val="00447433"/>
    <w:rsid w:val="00452707"/>
    <w:rsid w:val="00455181"/>
    <w:rsid w:val="00456CA6"/>
    <w:rsid w:val="00464E7D"/>
    <w:rsid w:val="00467677"/>
    <w:rsid w:val="004753B2"/>
    <w:rsid w:val="004824E5"/>
    <w:rsid w:val="004859FF"/>
    <w:rsid w:val="00486FE4"/>
    <w:rsid w:val="00492685"/>
    <w:rsid w:val="004977DA"/>
    <w:rsid w:val="004A3BE7"/>
    <w:rsid w:val="004B0B41"/>
    <w:rsid w:val="004B2427"/>
    <w:rsid w:val="004B3B8D"/>
    <w:rsid w:val="004B5617"/>
    <w:rsid w:val="004B6868"/>
    <w:rsid w:val="004B6FEE"/>
    <w:rsid w:val="004C4E13"/>
    <w:rsid w:val="004C75B2"/>
    <w:rsid w:val="004D14E1"/>
    <w:rsid w:val="004D2EB6"/>
    <w:rsid w:val="004D7716"/>
    <w:rsid w:val="004E076B"/>
    <w:rsid w:val="004E18C5"/>
    <w:rsid w:val="004E3CFA"/>
    <w:rsid w:val="004E4E3A"/>
    <w:rsid w:val="004E5B47"/>
    <w:rsid w:val="004F3970"/>
    <w:rsid w:val="004F7CDC"/>
    <w:rsid w:val="005109C8"/>
    <w:rsid w:val="005139E7"/>
    <w:rsid w:val="005140B6"/>
    <w:rsid w:val="00517079"/>
    <w:rsid w:val="00521D7E"/>
    <w:rsid w:val="00523571"/>
    <w:rsid w:val="00525F08"/>
    <w:rsid w:val="00543CDB"/>
    <w:rsid w:val="00546979"/>
    <w:rsid w:val="00551FFB"/>
    <w:rsid w:val="005525D4"/>
    <w:rsid w:val="005538BA"/>
    <w:rsid w:val="005550ED"/>
    <w:rsid w:val="00557F9E"/>
    <w:rsid w:val="005614EF"/>
    <w:rsid w:val="00563EB7"/>
    <w:rsid w:val="00580930"/>
    <w:rsid w:val="00591A53"/>
    <w:rsid w:val="00592099"/>
    <w:rsid w:val="00593B05"/>
    <w:rsid w:val="005971FF"/>
    <w:rsid w:val="005A2A2A"/>
    <w:rsid w:val="005B5B79"/>
    <w:rsid w:val="005C06E4"/>
    <w:rsid w:val="005E0FAF"/>
    <w:rsid w:val="005E5BCC"/>
    <w:rsid w:val="005F6994"/>
    <w:rsid w:val="00610899"/>
    <w:rsid w:val="00612D6C"/>
    <w:rsid w:val="00620DA8"/>
    <w:rsid w:val="0062278A"/>
    <w:rsid w:val="0062767D"/>
    <w:rsid w:val="006308BC"/>
    <w:rsid w:val="00634B20"/>
    <w:rsid w:val="00636561"/>
    <w:rsid w:val="00646641"/>
    <w:rsid w:val="00651C14"/>
    <w:rsid w:val="00652FFB"/>
    <w:rsid w:val="00657DA3"/>
    <w:rsid w:val="0067545A"/>
    <w:rsid w:val="006800D1"/>
    <w:rsid w:val="0068232A"/>
    <w:rsid w:val="006915A7"/>
    <w:rsid w:val="00693E4C"/>
    <w:rsid w:val="006960A0"/>
    <w:rsid w:val="006A3AB8"/>
    <w:rsid w:val="006A73D1"/>
    <w:rsid w:val="006B21C8"/>
    <w:rsid w:val="006B42E9"/>
    <w:rsid w:val="006B5552"/>
    <w:rsid w:val="006B589D"/>
    <w:rsid w:val="006B5FEE"/>
    <w:rsid w:val="006B6846"/>
    <w:rsid w:val="006C4D0C"/>
    <w:rsid w:val="006C705D"/>
    <w:rsid w:val="006C76BE"/>
    <w:rsid w:val="006D10D7"/>
    <w:rsid w:val="006D3FD7"/>
    <w:rsid w:val="006D5021"/>
    <w:rsid w:val="006D59BA"/>
    <w:rsid w:val="006D7B54"/>
    <w:rsid w:val="006E4059"/>
    <w:rsid w:val="006E426A"/>
    <w:rsid w:val="006E5CB0"/>
    <w:rsid w:val="006F3B9A"/>
    <w:rsid w:val="006F4314"/>
    <w:rsid w:val="007001C7"/>
    <w:rsid w:val="00704CF7"/>
    <w:rsid w:val="00707249"/>
    <w:rsid w:val="00715AA2"/>
    <w:rsid w:val="00721F2F"/>
    <w:rsid w:val="007237E3"/>
    <w:rsid w:val="00727C58"/>
    <w:rsid w:val="00744E87"/>
    <w:rsid w:val="00747880"/>
    <w:rsid w:val="00750DFE"/>
    <w:rsid w:val="00754DAF"/>
    <w:rsid w:val="00763E31"/>
    <w:rsid w:val="00763FEB"/>
    <w:rsid w:val="00765840"/>
    <w:rsid w:val="007719F7"/>
    <w:rsid w:val="00773AF4"/>
    <w:rsid w:val="00774F54"/>
    <w:rsid w:val="007A638C"/>
    <w:rsid w:val="007B062D"/>
    <w:rsid w:val="007C6B8B"/>
    <w:rsid w:val="007D24F7"/>
    <w:rsid w:val="007D2C05"/>
    <w:rsid w:val="007D5801"/>
    <w:rsid w:val="007D6F98"/>
    <w:rsid w:val="007E6FF0"/>
    <w:rsid w:val="007F685B"/>
    <w:rsid w:val="007F6862"/>
    <w:rsid w:val="008153DC"/>
    <w:rsid w:val="00817B3A"/>
    <w:rsid w:val="008374FD"/>
    <w:rsid w:val="008457AF"/>
    <w:rsid w:val="008550E9"/>
    <w:rsid w:val="0085696A"/>
    <w:rsid w:val="00874780"/>
    <w:rsid w:val="00880B7A"/>
    <w:rsid w:val="00883087"/>
    <w:rsid w:val="00894A61"/>
    <w:rsid w:val="008A20E0"/>
    <w:rsid w:val="008A2F93"/>
    <w:rsid w:val="008A4242"/>
    <w:rsid w:val="008A5845"/>
    <w:rsid w:val="008A695A"/>
    <w:rsid w:val="008B00FE"/>
    <w:rsid w:val="008B7C41"/>
    <w:rsid w:val="008C37A9"/>
    <w:rsid w:val="008E1B29"/>
    <w:rsid w:val="008E23DE"/>
    <w:rsid w:val="008E7DCA"/>
    <w:rsid w:val="008F0652"/>
    <w:rsid w:val="008F1081"/>
    <w:rsid w:val="008F469D"/>
    <w:rsid w:val="008F6544"/>
    <w:rsid w:val="00900DF8"/>
    <w:rsid w:val="00900FC1"/>
    <w:rsid w:val="00915C55"/>
    <w:rsid w:val="00921F9B"/>
    <w:rsid w:val="00937329"/>
    <w:rsid w:val="009374DE"/>
    <w:rsid w:val="009500A5"/>
    <w:rsid w:val="00954FD5"/>
    <w:rsid w:val="00963804"/>
    <w:rsid w:val="009639B8"/>
    <w:rsid w:val="00972C79"/>
    <w:rsid w:val="00985E0B"/>
    <w:rsid w:val="009923AD"/>
    <w:rsid w:val="0099602E"/>
    <w:rsid w:val="009A24AA"/>
    <w:rsid w:val="009A2AD3"/>
    <w:rsid w:val="009A5414"/>
    <w:rsid w:val="009A6340"/>
    <w:rsid w:val="009B1EBB"/>
    <w:rsid w:val="009C0053"/>
    <w:rsid w:val="009C2499"/>
    <w:rsid w:val="009C2766"/>
    <w:rsid w:val="009D1227"/>
    <w:rsid w:val="009D1C57"/>
    <w:rsid w:val="009D4D8A"/>
    <w:rsid w:val="009E0782"/>
    <w:rsid w:val="009E2AE6"/>
    <w:rsid w:val="009E3FC9"/>
    <w:rsid w:val="009E4037"/>
    <w:rsid w:val="009E6831"/>
    <w:rsid w:val="009F0BF8"/>
    <w:rsid w:val="00A00C3A"/>
    <w:rsid w:val="00A03CDE"/>
    <w:rsid w:val="00A164DD"/>
    <w:rsid w:val="00A20262"/>
    <w:rsid w:val="00A210D8"/>
    <w:rsid w:val="00A235A8"/>
    <w:rsid w:val="00A27971"/>
    <w:rsid w:val="00A34B1D"/>
    <w:rsid w:val="00A34C62"/>
    <w:rsid w:val="00A40EEF"/>
    <w:rsid w:val="00A52533"/>
    <w:rsid w:val="00A54B1C"/>
    <w:rsid w:val="00A5594C"/>
    <w:rsid w:val="00A569F4"/>
    <w:rsid w:val="00A6461F"/>
    <w:rsid w:val="00A722FC"/>
    <w:rsid w:val="00A83E51"/>
    <w:rsid w:val="00AA0B64"/>
    <w:rsid w:val="00AB2A4A"/>
    <w:rsid w:val="00AB485F"/>
    <w:rsid w:val="00AC2526"/>
    <w:rsid w:val="00AC3B84"/>
    <w:rsid w:val="00AD275E"/>
    <w:rsid w:val="00AD5482"/>
    <w:rsid w:val="00AD5B4B"/>
    <w:rsid w:val="00AD6426"/>
    <w:rsid w:val="00AE0609"/>
    <w:rsid w:val="00AE32EA"/>
    <w:rsid w:val="00AF6112"/>
    <w:rsid w:val="00B203E0"/>
    <w:rsid w:val="00B213FD"/>
    <w:rsid w:val="00B22F03"/>
    <w:rsid w:val="00B23A4D"/>
    <w:rsid w:val="00B27B61"/>
    <w:rsid w:val="00B326B9"/>
    <w:rsid w:val="00B34A38"/>
    <w:rsid w:val="00B365EF"/>
    <w:rsid w:val="00B556C0"/>
    <w:rsid w:val="00B56BE2"/>
    <w:rsid w:val="00B60A9B"/>
    <w:rsid w:val="00B62FE8"/>
    <w:rsid w:val="00B630C8"/>
    <w:rsid w:val="00B7547B"/>
    <w:rsid w:val="00B76BF6"/>
    <w:rsid w:val="00B8251E"/>
    <w:rsid w:val="00B95DFE"/>
    <w:rsid w:val="00BA3778"/>
    <w:rsid w:val="00BA48C6"/>
    <w:rsid w:val="00BA56CC"/>
    <w:rsid w:val="00BB180C"/>
    <w:rsid w:val="00BB351D"/>
    <w:rsid w:val="00BB4832"/>
    <w:rsid w:val="00BB6663"/>
    <w:rsid w:val="00BC2511"/>
    <w:rsid w:val="00BC512F"/>
    <w:rsid w:val="00BC5F61"/>
    <w:rsid w:val="00BE2F4E"/>
    <w:rsid w:val="00BE5D43"/>
    <w:rsid w:val="00BF1786"/>
    <w:rsid w:val="00BF1903"/>
    <w:rsid w:val="00BF75AA"/>
    <w:rsid w:val="00C000E1"/>
    <w:rsid w:val="00C037F9"/>
    <w:rsid w:val="00C05FF4"/>
    <w:rsid w:val="00C256D3"/>
    <w:rsid w:val="00C3570C"/>
    <w:rsid w:val="00C35D49"/>
    <w:rsid w:val="00C36E4A"/>
    <w:rsid w:val="00C4146B"/>
    <w:rsid w:val="00C47501"/>
    <w:rsid w:val="00C566B6"/>
    <w:rsid w:val="00C6480D"/>
    <w:rsid w:val="00C77AF4"/>
    <w:rsid w:val="00C86105"/>
    <w:rsid w:val="00CA7F1C"/>
    <w:rsid w:val="00CB459F"/>
    <w:rsid w:val="00CB5B20"/>
    <w:rsid w:val="00CD1095"/>
    <w:rsid w:val="00CD4FC2"/>
    <w:rsid w:val="00CE5F92"/>
    <w:rsid w:val="00CF4681"/>
    <w:rsid w:val="00CF57E0"/>
    <w:rsid w:val="00D01869"/>
    <w:rsid w:val="00D03775"/>
    <w:rsid w:val="00D107F7"/>
    <w:rsid w:val="00D3129E"/>
    <w:rsid w:val="00D34952"/>
    <w:rsid w:val="00D40014"/>
    <w:rsid w:val="00D45564"/>
    <w:rsid w:val="00D4666B"/>
    <w:rsid w:val="00D54F79"/>
    <w:rsid w:val="00D6288F"/>
    <w:rsid w:val="00D631B9"/>
    <w:rsid w:val="00D6774E"/>
    <w:rsid w:val="00D76B78"/>
    <w:rsid w:val="00D80241"/>
    <w:rsid w:val="00D879E6"/>
    <w:rsid w:val="00DA079B"/>
    <w:rsid w:val="00DA11AC"/>
    <w:rsid w:val="00DB307D"/>
    <w:rsid w:val="00DB7978"/>
    <w:rsid w:val="00DC04BC"/>
    <w:rsid w:val="00DC316B"/>
    <w:rsid w:val="00DD2881"/>
    <w:rsid w:val="00DF1844"/>
    <w:rsid w:val="00DF406E"/>
    <w:rsid w:val="00DF60D6"/>
    <w:rsid w:val="00E00457"/>
    <w:rsid w:val="00E01958"/>
    <w:rsid w:val="00E03C00"/>
    <w:rsid w:val="00E12518"/>
    <w:rsid w:val="00E16B0A"/>
    <w:rsid w:val="00E16F98"/>
    <w:rsid w:val="00E23892"/>
    <w:rsid w:val="00E25601"/>
    <w:rsid w:val="00E31463"/>
    <w:rsid w:val="00E338D4"/>
    <w:rsid w:val="00E3441D"/>
    <w:rsid w:val="00E377C9"/>
    <w:rsid w:val="00E379A4"/>
    <w:rsid w:val="00E406A0"/>
    <w:rsid w:val="00E41BDA"/>
    <w:rsid w:val="00E454DC"/>
    <w:rsid w:val="00E53EA1"/>
    <w:rsid w:val="00E57FC2"/>
    <w:rsid w:val="00E81F80"/>
    <w:rsid w:val="00E8397A"/>
    <w:rsid w:val="00E9448E"/>
    <w:rsid w:val="00E9535A"/>
    <w:rsid w:val="00E9577B"/>
    <w:rsid w:val="00E97A12"/>
    <w:rsid w:val="00EA11EC"/>
    <w:rsid w:val="00EA209C"/>
    <w:rsid w:val="00EA5071"/>
    <w:rsid w:val="00EB0D73"/>
    <w:rsid w:val="00EB7801"/>
    <w:rsid w:val="00EC795A"/>
    <w:rsid w:val="00ED0D38"/>
    <w:rsid w:val="00ED2069"/>
    <w:rsid w:val="00ED6E0E"/>
    <w:rsid w:val="00ED763D"/>
    <w:rsid w:val="00EE32F0"/>
    <w:rsid w:val="00EF0DE1"/>
    <w:rsid w:val="00EF5131"/>
    <w:rsid w:val="00EF5A75"/>
    <w:rsid w:val="00EF7266"/>
    <w:rsid w:val="00F0378D"/>
    <w:rsid w:val="00F05501"/>
    <w:rsid w:val="00F10CC8"/>
    <w:rsid w:val="00F11F11"/>
    <w:rsid w:val="00F13969"/>
    <w:rsid w:val="00F17217"/>
    <w:rsid w:val="00F21072"/>
    <w:rsid w:val="00F21D66"/>
    <w:rsid w:val="00F21DD7"/>
    <w:rsid w:val="00F32F7E"/>
    <w:rsid w:val="00F352D9"/>
    <w:rsid w:val="00F35AD9"/>
    <w:rsid w:val="00F436C9"/>
    <w:rsid w:val="00F61DDA"/>
    <w:rsid w:val="00F62D50"/>
    <w:rsid w:val="00F6465B"/>
    <w:rsid w:val="00F72925"/>
    <w:rsid w:val="00F742D9"/>
    <w:rsid w:val="00F753C9"/>
    <w:rsid w:val="00F822C0"/>
    <w:rsid w:val="00F86073"/>
    <w:rsid w:val="00F87E9E"/>
    <w:rsid w:val="00F91263"/>
    <w:rsid w:val="00F9262A"/>
    <w:rsid w:val="00F9449D"/>
    <w:rsid w:val="00F96DFA"/>
    <w:rsid w:val="00FA7C67"/>
    <w:rsid w:val="00FB188E"/>
    <w:rsid w:val="00FB309B"/>
    <w:rsid w:val="00FB538F"/>
    <w:rsid w:val="00FB7BB4"/>
    <w:rsid w:val="00FC7E1F"/>
    <w:rsid w:val="00FE5382"/>
    <w:rsid w:val="00FF14BD"/>
    <w:rsid w:val="00FF357E"/>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FEB14"/>
  <w15:chartTrackingRefBased/>
  <w15:docId w15:val="{B8295B13-A1A3-4FAB-8D3F-F4F9DF16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66"/>
    <w:rPr>
      <w:rFonts w:ascii="Times New Roman" w:eastAsia="Times New Roman" w:hAnsi="Times New Roman"/>
    </w:rPr>
  </w:style>
  <w:style w:type="paragraph" w:styleId="Heading1">
    <w:name w:val="heading 1"/>
    <w:basedOn w:val="Normal"/>
    <w:next w:val="Normal"/>
    <w:link w:val="Heading1Char"/>
    <w:uiPriority w:val="9"/>
    <w:qFormat/>
    <w:rsid w:val="0026133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639B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39B8"/>
    <w:pPr>
      <w:tabs>
        <w:tab w:val="center" w:pos="4320"/>
        <w:tab w:val="right" w:pos="8640"/>
      </w:tabs>
    </w:pPr>
  </w:style>
  <w:style w:type="character" w:customStyle="1" w:styleId="FooterChar">
    <w:name w:val="Footer Char"/>
    <w:link w:val="Footer"/>
    <w:uiPriority w:val="99"/>
    <w:rsid w:val="009639B8"/>
    <w:rPr>
      <w:rFonts w:ascii="Times New Roman" w:eastAsia="Times New Roman" w:hAnsi="Times New Roman" w:cs="Times New Roman"/>
      <w:sz w:val="20"/>
      <w:szCs w:val="20"/>
    </w:rPr>
  </w:style>
  <w:style w:type="character" w:styleId="PageNumber">
    <w:name w:val="page number"/>
    <w:rsid w:val="009639B8"/>
    <w:rPr>
      <w:rFonts w:cs="Times New Roman"/>
    </w:rPr>
  </w:style>
  <w:style w:type="paragraph" w:customStyle="1" w:styleId="Identifier">
    <w:name w:val="Identifier"/>
    <w:basedOn w:val="Heading2"/>
    <w:rsid w:val="009639B8"/>
    <w:pPr>
      <w:keepLines w:val="0"/>
      <w:spacing w:before="240" w:after="60"/>
    </w:pPr>
    <w:rPr>
      <w:rFonts w:ascii="Arial" w:hAnsi="Arial"/>
      <w:bCs w:val="0"/>
      <w:i/>
      <w:color w:val="auto"/>
      <w:sz w:val="20"/>
      <w:szCs w:val="20"/>
    </w:rPr>
  </w:style>
  <w:style w:type="character" w:customStyle="1" w:styleId="Heading2Char">
    <w:name w:val="Heading 2 Char"/>
    <w:link w:val="Heading2"/>
    <w:uiPriority w:val="9"/>
    <w:semiHidden/>
    <w:rsid w:val="009639B8"/>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0245BB"/>
    <w:pPr>
      <w:tabs>
        <w:tab w:val="center" w:pos="4680"/>
        <w:tab w:val="right" w:pos="9360"/>
      </w:tabs>
    </w:pPr>
  </w:style>
  <w:style w:type="character" w:customStyle="1" w:styleId="HeaderChar">
    <w:name w:val="Header Char"/>
    <w:link w:val="Header"/>
    <w:uiPriority w:val="99"/>
    <w:rsid w:val="000245BB"/>
    <w:rPr>
      <w:rFonts w:ascii="Times New Roman" w:eastAsia="Times New Roman" w:hAnsi="Times New Roman"/>
    </w:rPr>
  </w:style>
  <w:style w:type="paragraph" w:styleId="BalloonText">
    <w:name w:val="Balloon Text"/>
    <w:basedOn w:val="Normal"/>
    <w:link w:val="BalloonTextChar"/>
    <w:uiPriority w:val="99"/>
    <w:semiHidden/>
    <w:unhideWhenUsed/>
    <w:rsid w:val="008E23DE"/>
    <w:rPr>
      <w:rFonts w:ascii="Tahoma" w:hAnsi="Tahoma" w:cs="Tahoma"/>
      <w:sz w:val="16"/>
      <w:szCs w:val="16"/>
    </w:rPr>
  </w:style>
  <w:style w:type="character" w:customStyle="1" w:styleId="BalloonTextChar">
    <w:name w:val="Balloon Text Char"/>
    <w:link w:val="BalloonText"/>
    <w:uiPriority w:val="99"/>
    <w:semiHidden/>
    <w:rsid w:val="008E23DE"/>
    <w:rPr>
      <w:rFonts w:ascii="Tahoma" w:eastAsia="Times New Roman" w:hAnsi="Tahoma" w:cs="Tahoma"/>
      <w:sz w:val="16"/>
      <w:szCs w:val="16"/>
    </w:rPr>
  </w:style>
  <w:style w:type="table" w:styleId="TableGrid">
    <w:name w:val="Table Grid"/>
    <w:basedOn w:val="TableNormal"/>
    <w:uiPriority w:val="59"/>
    <w:rsid w:val="00BF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569F4"/>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1"/>
    <w:qFormat/>
    <w:rsid w:val="00A569F4"/>
    <w:pPr>
      <w:widowControl w:val="0"/>
      <w:autoSpaceDE w:val="0"/>
      <w:autoSpaceDN w:val="0"/>
    </w:pPr>
    <w:rPr>
      <w:rFonts w:ascii="Calibri" w:eastAsia="Calibri" w:hAnsi="Calibri" w:cs="Calibri"/>
      <w:sz w:val="24"/>
      <w:szCs w:val="24"/>
    </w:rPr>
  </w:style>
  <w:style w:type="character" w:customStyle="1" w:styleId="BodyTextChar">
    <w:name w:val="Body Text Char"/>
    <w:link w:val="BodyText"/>
    <w:uiPriority w:val="1"/>
    <w:rsid w:val="00A569F4"/>
    <w:rPr>
      <w:rFonts w:cs="Calibri"/>
      <w:sz w:val="24"/>
      <w:szCs w:val="24"/>
    </w:rPr>
  </w:style>
  <w:style w:type="paragraph" w:customStyle="1" w:styleId="TableParagraph">
    <w:name w:val="Table Paragraph"/>
    <w:basedOn w:val="Normal"/>
    <w:uiPriority w:val="1"/>
    <w:qFormat/>
    <w:rsid w:val="00963804"/>
    <w:pPr>
      <w:widowControl w:val="0"/>
      <w:autoSpaceDE w:val="0"/>
      <w:autoSpaceDN w:val="0"/>
      <w:spacing w:line="292" w:lineRule="exact"/>
      <w:ind w:left="103"/>
      <w:jc w:val="center"/>
    </w:pPr>
    <w:rPr>
      <w:rFonts w:ascii="Calibri" w:eastAsia="Calibri" w:hAnsi="Calibri" w:cs="Calibri"/>
      <w:sz w:val="22"/>
      <w:szCs w:val="22"/>
    </w:rPr>
  </w:style>
  <w:style w:type="paragraph" w:customStyle="1" w:styleId="b0">
    <w:name w:val="b0"/>
    <w:basedOn w:val="Normal"/>
    <w:rsid w:val="009374DE"/>
    <w:pPr>
      <w:spacing w:before="100" w:beforeAutospacing="1" w:after="100" w:afterAutospacing="1"/>
    </w:pPr>
    <w:rPr>
      <w:sz w:val="24"/>
      <w:szCs w:val="24"/>
    </w:rPr>
  </w:style>
  <w:style w:type="character" w:customStyle="1" w:styleId="bold">
    <w:name w:val="bold"/>
    <w:rsid w:val="009374DE"/>
  </w:style>
  <w:style w:type="character" w:customStyle="1" w:styleId="apple-converted-space">
    <w:name w:val="apple-converted-space"/>
    <w:rsid w:val="009374DE"/>
  </w:style>
  <w:style w:type="paragraph" w:customStyle="1" w:styleId="incr1">
    <w:name w:val="incr1"/>
    <w:basedOn w:val="Normal"/>
    <w:rsid w:val="009374DE"/>
    <w:pPr>
      <w:spacing w:before="100" w:beforeAutospacing="1" w:after="100" w:afterAutospacing="1"/>
    </w:pPr>
    <w:rPr>
      <w:sz w:val="24"/>
      <w:szCs w:val="24"/>
    </w:rPr>
  </w:style>
  <w:style w:type="character" w:styleId="CommentReference">
    <w:name w:val="annotation reference"/>
    <w:uiPriority w:val="99"/>
    <w:semiHidden/>
    <w:unhideWhenUsed/>
    <w:rsid w:val="00D879E6"/>
    <w:rPr>
      <w:sz w:val="16"/>
      <w:szCs w:val="16"/>
    </w:rPr>
  </w:style>
  <w:style w:type="paragraph" w:styleId="CommentText">
    <w:name w:val="annotation text"/>
    <w:basedOn w:val="Normal"/>
    <w:link w:val="CommentTextChar"/>
    <w:uiPriority w:val="99"/>
    <w:semiHidden/>
    <w:unhideWhenUsed/>
    <w:rsid w:val="00D879E6"/>
  </w:style>
  <w:style w:type="character" w:customStyle="1" w:styleId="CommentTextChar">
    <w:name w:val="Comment Text Char"/>
    <w:link w:val="CommentText"/>
    <w:uiPriority w:val="99"/>
    <w:semiHidden/>
    <w:rsid w:val="00D879E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879E6"/>
    <w:rPr>
      <w:b/>
      <w:bCs/>
    </w:rPr>
  </w:style>
  <w:style w:type="character" w:customStyle="1" w:styleId="CommentSubjectChar">
    <w:name w:val="Comment Subject Char"/>
    <w:link w:val="CommentSubject"/>
    <w:uiPriority w:val="99"/>
    <w:semiHidden/>
    <w:rsid w:val="00D879E6"/>
    <w:rPr>
      <w:rFonts w:ascii="Times New Roman" w:eastAsia="Times New Roman" w:hAnsi="Times New Roman"/>
      <w:b/>
      <w:bCs/>
    </w:rPr>
  </w:style>
  <w:style w:type="character" w:styleId="Hyperlink">
    <w:name w:val="Hyperlink"/>
    <w:uiPriority w:val="99"/>
    <w:unhideWhenUsed/>
    <w:rsid w:val="00314B94"/>
    <w:rPr>
      <w:color w:val="0563C1"/>
      <w:u w:val="single"/>
    </w:rPr>
  </w:style>
  <w:style w:type="character" w:styleId="UnresolvedMention">
    <w:name w:val="Unresolved Mention"/>
    <w:uiPriority w:val="99"/>
    <w:semiHidden/>
    <w:unhideWhenUsed/>
    <w:rsid w:val="00314B94"/>
    <w:rPr>
      <w:color w:val="605E5C"/>
      <w:shd w:val="clear" w:color="auto" w:fill="E1DFDD"/>
    </w:rPr>
  </w:style>
  <w:style w:type="character" w:customStyle="1" w:styleId="Heading1Char">
    <w:name w:val="Heading 1 Char"/>
    <w:basedOn w:val="DefaultParagraphFont"/>
    <w:link w:val="Heading1"/>
    <w:uiPriority w:val="9"/>
    <w:rsid w:val="0026133F"/>
    <w:rPr>
      <w:rFonts w:asciiTheme="majorHAnsi" w:eastAsiaTheme="majorEastAsia" w:hAnsiTheme="majorHAnsi" w:cstheme="majorBidi"/>
      <w:color w:val="0F4761" w:themeColor="accent1" w:themeShade="BF"/>
      <w:sz w:val="32"/>
      <w:szCs w:val="32"/>
    </w:rPr>
  </w:style>
  <w:style w:type="table" w:customStyle="1" w:styleId="TableGrid0">
    <w:name w:val="TableGrid"/>
    <w:rsid w:val="0026133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3B061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1286">
      <w:bodyDiv w:val="1"/>
      <w:marLeft w:val="0"/>
      <w:marRight w:val="0"/>
      <w:marTop w:val="0"/>
      <w:marBottom w:val="0"/>
      <w:divBdr>
        <w:top w:val="none" w:sz="0" w:space="0" w:color="auto"/>
        <w:left w:val="none" w:sz="0" w:space="0" w:color="auto"/>
        <w:bottom w:val="none" w:sz="0" w:space="0" w:color="auto"/>
        <w:right w:val="none" w:sz="0" w:space="0" w:color="auto"/>
      </w:divBdr>
    </w:div>
    <w:div w:id="312756588">
      <w:bodyDiv w:val="1"/>
      <w:marLeft w:val="0"/>
      <w:marRight w:val="0"/>
      <w:marTop w:val="0"/>
      <w:marBottom w:val="0"/>
      <w:divBdr>
        <w:top w:val="none" w:sz="0" w:space="0" w:color="auto"/>
        <w:left w:val="none" w:sz="0" w:space="0" w:color="auto"/>
        <w:bottom w:val="none" w:sz="0" w:space="0" w:color="auto"/>
        <w:right w:val="none" w:sz="0" w:space="0" w:color="auto"/>
      </w:divBdr>
    </w:div>
    <w:div w:id="373162296">
      <w:bodyDiv w:val="1"/>
      <w:marLeft w:val="0"/>
      <w:marRight w:val="0"/>
      <w:marTop w:val="0"/>
      <w:marBottom w:val="0"/>
      <w:divBdr>
        <w:top w:val="none" w:sz="0" w:space="0" w:color="auto"/>
        <w:left w:val="none" w:sz="0" w:space="0" w:color="auto"/>
        <w:bottom w:val="none" w:sz="0" w:space="0" w:color="auto"/>
        <w:right w:val="none" w:sz="0" w:space="0" w:color="auto"/>
      </w:divBdr>
    </w:div>
    <w:div w:id="481656060">
      <w:bodyDiv w:val="1"/>
      <w:marLeft w:val="0"/>
      <w:marRight w:val="0"/>
      <w:marTop w:val="0"/>
      <w:marBottom w:val="0"/>
      <w:divBdr>
        <w:top w:val="none" w:sz="0" w:space="0" w:color="auto"/>
        <w:left w:val="none" w:sz="0" w:space="0" w:color="auto"/>
        <w:bottom w:val="none" w:sz="0" w:space="0" w:color="auto"/>
        <w:right w:val="none" w:sz="0" w:space="0" w:color="auto"/>
      </w:divBdr>
    </w:div>
    <w:div w:id="509485977">
      <w:bodyDiv w:val="1"/>
      <w:marLeft w:val="0"/>
      <w:marRight w:val="0"/>
      <w:marTop w:val="0"/>
      <w:marBottom w:val="0"/>
      <w:divBdr>
        <w:top w:val="none" w:sz="0" w:space="0" w:color="auto"/>
        <w:left w:val="none" w:sz="0" w:space="0" w:color="auto"/>
        <w:bottom w:val="none" w:sz="0" w:space="0" w:color="auto"/>
        <w:right w:val="none" w:sz="0" w:space="0" w:color="auto"/>
      </w:divBdr>
    </w:div>
    <w:div w:id="683628342">
      <w:bodyDiv w:val="1"/>
      <w:marLeft w:val="0"/>
      <w:marRight w:val="0"/>
      <w:marTop w:val="0"/>
      <w:marBottom w:val="0"/>
      <w:divBdr>
        <w:top w:val="none" w:sz="0" w:space="0" w:color="auto"/>
        <w:left w:val="none" w:sz="0" w:space="0" w:color="auto"/>
        <w:bottom w:val="none" w:sz="0" w:space="0" w:color="auto"/>
        <w:right w:val="none" w:sz="0" w:space="0" w:color="auto"/>
      </w:divBdr>
    </w:div>
    <w:div w:id="768426372">
      <w:bodyDiv w:val="1"/>
      <w:marLeft w:val="0"/>
      <w:marRight w:val="0"/>
      <w:marTop w:val="0"/>
      <w:marBottom w:val="0"/>
      <w:divBdr>
        <w:top w:val="none" w:sz="0" w:space="0" w:color="auto"/>
        <w:left w:val="none" w:sz="0" w:space="0" w:color="auto"/>
        <w:bottom w:val="none" w:sz="0" w:space="0" w:color="auto"/>
        <w:right w:val="none" w:sz="0" w:space="0" w:color="auto"/>
      </w:divBdr>
    </w:div>
    <w:div w:id="859507562">
      <w:bodyDiv w:val="1"/>
      <w:marLeft w:val="0"/>
      <w:marRight w:val="0"/>
      <w:marTop w:val="0"/>
      <w:marBottom w:val="0"/>
      <w:divBdr>
        <w:top w:val="none" w:sz="0" w:space="0" w:color="auto"/>
        <w:left w:val="none" w:sz="0" w:space="0" w:color="auto"/>
        <w:bottom w:val="none" w:sz="0" w:space="0" w:color="auto"/>
        <w:right w:val="none" w:sz="0" w:space="0" w:color="auto"/>
      </w:divBdr>
    </w:div>
    <w:div w:id="908923190">
      <w:bodyDiv w:val="1"/>
      <w:marLeft w:val="0"/>
      <w:marRight w:val="0"/>
      <w:marTop w:val="0"/>
      <w:marBottom w:val="0"/>
      <w:divBdr>
        <w:top w:val="none" w:sz="0" w:space="0" w:color="auto"/>
        <w:left w:val="none" w:sz="0" w:space="0" w:color="auto"/>
        <w:bottom w:val="none" w:sz="0" w:space="0" w:color="auto"/>
        <w:right w:val="none" w:sz="0" w:space="0" w:color="auto"/>
      </w:divBdr>
    </w:div>
    <w:div w:id="1147671567">
      <w:bodyDiv w:val="1"/>
      <w:marLeft w:val="0"/>
      <w:marRight w:val="0"/>
      <w:marTop w:val="0"/>
      <w:marBottom w:val="0"/>
      <w:divBdr>
        <w:top w:val="none" w:sz="0" w:space="0" w:color="auto"/>
        <w:left w:val="none" w:sz="0" w:space="0" w:color="auto"/>
        <w:bottom w:val="none" w:sz="0" w:space="0" w:color="auto"/>
        <w:right w:val="none" w:sz="0" w:space="0" w:color="auto"/>
      </w:divBdr>
    </w:div>
    <w:div w:id="1203902602">
      <w:bodyDiv w:val="1"/>
      <w:marLeft w:val="0"/>
      <w:marRight w:val="0"/>
      <w:marTop w:val="0"/>
      <w:marBottom w:val="0"/>
      <w:divBdr>
        <w:top w:val="none" w:sz="0" w:space="0" w:color="auto"/>
        <w:left w:val="none" w:sz="0" w:space="0" w:color="auto"/>
        <w:bottom w:val="none" w:sz="0" w:space="0" w:color="auto"/>
        <w:right w:val="none" w:sz="0" w:space="0" w:color="auto"/>
      </w:divBdr>
    </w:div>
    <w:div w:id="1372458295">
      <w:bodyDiv w:val="1"/>
      <w:marLeft w:val="0"/>
      <w:marRight w:val="0"/>
      <w:marTop w:val="0"/>
      <w:marBottom w:val="0"/>
      <w:divBdr>
        <w:top w:val="none" w:sz="0" w:space="0" w:color="auto"/>
        <w:left w:val="none" w:sz="0" w:space="0" w:color="auto"/>
        <w:bottom w:val="none" w:sz="0" w:space="0" w:color="auto"/>
        <w:right w:val="none" w:sz="0" w:space="0" w:color="auto"/>
      </w:divBdr>
    </w:div>
    <w:div w:id="1430345041">
      <w:bodyDiv w:val="1"/>
      <w:marLeft w:val="0"/>
      <w:marRight w:val="0"/>
      <w:marTop w:val="0"/>
      <w:marBottom w:val="0"/>
      <w:divBdr>
        <w:top w:val="none" w:sz="0" w:space="0" w:color="auto"/>
        <w:left w:val="none" w:sz="0" w:space="0" w:color="auto"/>
        <w:bottom w:val="none" w:sz="0" w:space="0" w:color="auto"/>
        <w:right w:val="none" w:sz="0" w:space="0" w:color="auto"/>
      </w:divBdr>
    </w:div>
    <w:div w:id="1434740159">
      <w:bodyDiv w:val="1"/>
      <w:marLeft w:val="0"/>
      <w:marRight w:val="0"/>
      <w:marTop w:val="0"/>
      <w:marBottom w:val="0"/>
      <w:divBdr>
        <w:top w:val="none" w:sz="0" w:space="0" w:color="auto"/>
        <w:left w:val="none" w:sz="0" w:space="0" w:color="auto"/>
        <w:bottom w:val="none" w:sz="0" w:space="0" w:color="auto"/>
        <w:right w:val="none" w:sz="0" w:space="0" w:color="auto"/>
      </w:divBdr>
    </w:div>
    <w:div w:id="1451895368">
      <w:bodyDiv w:val="1"/>
      <w:marLeft w:val="0"/>
      <w:marRight w:val="0"/>
      <w:marTop w:val="0"/>
      <w:marBottom w:val="0"/>
      <w:divBdr>
        <w:top w:val="none" w:sz="0" w:space="0" w:color="auto"/>
        <w:left w:val="none" w:sz="0" w:space="0" w:color="auto"/>
        <w:bottom w:val="none" w:sz="0" w:space="0" w:color="auto"/>
        <w:right w:val="none" w:sz="0" w:space="0" w:color="auto"/>
      </w:divBdr>
    </w:div>
    <w:div w:id="1492480883">
      <w:bodyDiv w:val="1"/>
      <w:marLeft w:val="0"/>
      <w:marRight w:val="0"/>
      <w:marTop w:val="0"/>
      <w:marBottom w:val="0"/>
      <w:divBdr>
        <w:top w:val="none" w:sz="0" w:space="0" w:color="auto"/>
        <w:left w:val="none" w:sz="0" w:space="0" w:color="auto"/>
        <w:bottom w:val="none" w:sz="0" w:space="0" w:color="auto"/>
        <w:right w:val="none" w:sz="0" w:space="0" w:color="auto"/>
      </w:divBdr>
    </w:div>
    <w:div w:id="1715537757">
      <w:bodyDiv w:val="1"/>
      <w:marLeft w:val="0"/>
      <w:marRight w:val="0"/>
      <w:marTop w:val="0"/>
      <w:marBottom w:val="0"/>
      <w:divBdr>
        <w:top w:val="none" w:sz="0" w:space="0" w:color="auto"/>
        <w:left w:val="none" w:sz="0" w:space="0" w:color="auto"/>
        <w:bottom w:val="none" w:sz="0" w:space="0" w:color="auto"/>
        <w:right w:val="none" w:sz="0" w:space="0" w:color="auto"/>
      </w:divBdr>
    </w:div>
    <w:div w:id="1859271957">
      <w:bodyDiv w:val="1"/>
      <w:marLeft w:val="0"/>
      <w:marRight w:val="0"/>
      <w:marTop w:val="0"/>
      <w:marBottom w:val="0"/>
      <w:divBdr>
        <w:top w:val="none" w:sz="0" w:space="0" w:color="auto"/>
        <w:left w:val="none" w:sz="0" w:space="0" w:color="auto"/>
        <w:bottom w:val="none" w:sz="0" w:space="0" w:color="auto"/>
        <w:right w:val="none" w:sz="0" w:space="0" w:color="auto"/>
      </w:divBdr>
    </w:div>
    <w:div w:id="18856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526C-51E8-49AC-BDC5-575E9BA9CC43}">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mking</dc:creator>
  <cp:keywords/>
  <cp:lastModifiedBy>Hannah Ordonez</cp:lastModifiedBy>
  <cp:revision>3</cp:revision>
  <cp:lastPrinted>2025-01-29T12:33:00Z</cp:lastPrinted>
  <dcterms:created xsi:type="dcterms:W3CDTF">2025-04-17T01:15:00Z</dcterms:created>
  <dcterms:modified xsi:type="dcterms:W3CDTF">2025-04-17T01:26:00Z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5813a60a5b8e17349817c79da78a3572871ac1af5923f65faeb1b141b0c45e63</vt:lpwstr>
  </property>
</Properties>
</file>