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D0D6E" w14:textId="1E7B4834" w:rsidR="00DD2881" w:rsidRPr="00334F9E" w:rsidRDefault="003565ED" w:rsidP="0004747A">
      <w:pPr>
        <w:jc w:val="center"/>
        <w:outlineLvl w:val="0"/>
        <w:rPr>
          <w:rFonts w:ascii="Arial" w:hAnsi="Arial" w:cs="Arial"/>
          <w:b/>
          <w:kern w:val="28"/>
        </w:rPr>
      </w:pPr>
      <w:r>
        <w:rPr>
          <w:rFonts w:ascii="Arial" w:hAnsi="Arial" w:cs="Arial"/>
          <w:b/>
          <w:kern w:val="28"/>
        </w:rPr>
        <w:t>Special</w:t>
      </w:r>
      <w:r w:rsidR="009639B8" w:rsidRPr="00334F9E">
        <w:rPr>
          <w:rFonts w:ascii="Arial" w:hAnsi="Arial" w:cs="Arial"/>
          <w:b/>
          <w:kern w:val="28"/>
        </w:rPr>
        <w:t xml:space="preserve"> Amendment to the </w:t>
      </w:r>
      <w:r w:rsidR="009639B8" w:rsidRPr="00334F9E">
        <w:rPr>
          <w:rFonts w:ascii="Arial" w:hAnsi="Arial" w:cs="Arial"/>
          <w:b/>
          <w:kern w:val="28"/>
        </w:rPr>
        <w:br/>
      </w:r>
      <w:r w:rsidR="00E9577B" w:rsidRPr="00334F9E">
        <w:rPr>
          <w:rFonts w:ascii="Arial" w:hAnsi="Arial" w:cs="Arial"/>
          <w:b/>
          <w:kern w:val="28"/>
        </w:rPr>
        <w:t>20</w:t>
      </w:r>
      <w:r w:rsidR="00BA3778" w:rsidRPr="00334F9E">
        <w:rPr>
          <w:rFonts w:ascii="Arial" w:hAnsi="Arial" w:cs="Arial"/>
          <w:b/>
          <w:kern w:val="28"/>
        </w:rPr>
        <w:t>2</w:t>
      </w:r>
      <w:r w:rsidR="0002181B" w:rsidRPr="00334F9E">
        <w:rPr>
          <w:rFonts w:ascii="Arial" w:hAnsi="Arial" w:cs="Arial"/>
          <w:b/>
          <w:kern w:val="28"/>
        </w:rPr>
        <w:t>4</w:t>
      </w:r>
      <w:r w:rsidR="00BA3778" w:rsidRPr="00334F9E">
        <w:rPr>
          <w:rFonts w:ascii="Arial" w:hAnsi="Arial" w:cs="Arial"/>
          <w:b/>
          <w:kern w:val="28"/>
        </w:rPr>
        <w:t xml:space="preserve"> </w:t>
      </w:r>
      <w:r w:rsidR="009639B8" w:rsidRPr="00334F9E">
        <w:rPr>
          <w:rFonts w:ascii="Arial" w:hAnsi="Arial" w:cs="Arial"/>
          <w:b/>
          <w:kern w:val="28"/>
        </w:rPr>
        <w:t>International Energy Conservation Code</w:t>
      </w:r>
    </w:p>
    <w:p w14:paraId="35492188" w14:textId="2D1F5F11" w:rsidR="00DD2881" w:rsidRPr="00334F9E" w:rsidRDefault="00DD2881" w:rsidP="0004747A">
      <w:pPr>
        <w:jc w:val="center"/>
        <w:outlineLvl w:val="0"/>
        <w:rPr>
          <w:rFonts w:ascii="Arial" w:hAnsi="Arial" w:cs="Arial"/>
          <w:b/>
          <w:kern w:val="28"/>
        </w:rPr>
      </w:pPr>
      <w:r w:rsidRPr="00334F9E">
        <w:rPr>
          <w:rFonts w:ascii="Arial" w:hAnsi="Arial" w:cs="Arial"/>
          <w:b/>
          <w:kern w:val="28"/>
        </w:rPr>
        <w:t xml:space="preserve">And the </w:t>
      </w:r>
      <w:r w:rsidR="000262CC">
        <w:rPr>
          <w:rFonts w:ascii="Arial" w:hAnsi="Arial" w:cs="Arial"/>
          <w:b/>
          <w:kern w:val="28"/>
        </w:rPr>
        <w:t>E</w:t>
      </w:r>
      <w:r w:rsidRPr="00334F9E">
        <w:rPr>
          <w:rFonts w:ascii="Arial" w:hAnsi="Arial" w:cs="Arial"/>
          <w:b/>
          <w:kern w:val="28"/>
        </w:rPr>
        <w:t xml:space="preserve">nergy </w:t>
      </w:r>
      <w:r w:rsidR="000262CC">
        <w:rPr>
          <w:rFonts w:ascii="Arial" w:hAnsi="Arial" w:cs="Arial"/>
          <w:b/>
          <w:kern w:val="28"/>
        </w:rPr>
        <w:t>P</w:t>
      </w:r>
      <w:r w:rsidRPr="00334F9E">
        <w:rPr>
          <w:rFonts w:ascii="Arial" w:hAnsi="Arial" w:cs="Arial"/>
          <w:b/>
          <w:kern w:val="28"/>
        </w:rPr>
        <w:t xml:space="preserve">rovisions of the </w:t>
      </w:r>
    </w:p>
    <w:p w14:paraId="51983FD0" w14:textId="3C6E7ECB" w:rsidR="009639B8" w:rsidRPr="00334F9E" w:rsidRDefault="00DD2881" w:rsidP="0004747A">
      <w:pPr>
        <w:jc w:val="center"/>
        <w:outlineLvl w:val="0"/>
        <w:rPr>
          <w:rFonts w:ascii="Arial" w:hAnsi="Arial" w:cs="Arial"/>
        </w:rPr>
      </w:pPr>
      <w:r w:rsidRPr="00334F9E">
        <w:rPr>
          <w:rFonts w:ascii="Arial" w:hAnsi="Arial" w:cs="Arial"/>
          <w:b/>
          <w:kern w:val="28"/>
        </w:rPr>
        <w:t>20</w:t>
      </w:r>
      <w:r w:rsidR="00BA3778" w:rsidRPr="00334F9E">
        <w:rPr>
          <w:rFonts w:ascii="Arial" w:hAnsi="Arial" w:cs="Arial"/>
          <w:b/>
          <w:kern w:val="28"/>
        </w:rPr>
        <w:t>2</w:t>
      </w:r>
      <w:r w:rsidR="0002181B" w:rsidRPr="00334F9E">
        <w:rPr>
          <w:rFonts w:ascii="Arial" w:hAnsi="Arial" w:cs="Arial"/>
          <w:b/>
          <w:kern w:val="28"/>
        </w:rPr>
        <w:t>4</w:t>
      </w:r>
      <w:r w:rsidRPr="00334F9E">
        <w:rPr>
          <w:rFonts w:ascii="Arial" w:hAnsi="Arial" w:cs="Arial"/>
          <w:b/>
          <w:kern w:val="28"/>
        </w:rPr>
        <w:t xml:space="preserve"> International Residential Code</w:t>
      </w:r>
      <w:r w:rsidR="009639B8" w:rsidRPr="00334F9E">
        <w:rPr>
          <w:rFonts w:ascii="Arial" w:hAnsi="Arial" w:cs="Arial"/>
        </w:rPr>
        <w:br/>
        <w:t xml:space="preserve">North Central Texas Council of Governments </w:t>
      </w:r>
      <w:r w:rsidR="00B62FE8" w:rsidRPr="00334F9E">
        <w:rPr>
          <w:rFonts w:ascii="Arial" w:hAnsi="Arial" w:cs="Arial"/>
        </w:rPr>
        <w:t>R</w:t>
      </w:r>
      <w:r w:rsidR="009639B8" w:rsidRPr="00334F9E">
        <w:rPr>
          <w:rFonts w:ascii="Arial" w:hAnsi="Arial" w:cs="Arial"/>
        </w:rPr>
        <w:t>egion</w:t>
      </w:r>
    </w:p>
    <w:p w14:paraId="58D4ED7F" w14:textId="77777777" w:rsidR="00B62FE8" w:rsidRPr="00334F9E" w:rsidRDefault="00B62FE8" w:rsidP="0004747A">
      <w:pPr>
        <w:jc w:val="center"/>
        <w:outlineLvl w:val="0"/>
        <w:rPr>
          <w:rFonts w:ascii="Arial" w:hAnsi="Arial" w:cs="Arial"/>
        </w:rPr>
      </w:pPr>
      <w:r w:rsidRPr="00334F9E">
        <w:rPr>
          <w:rFonts w:ascii="Arial" w:hAnsi="Arial" w:cs="Arial"/>
        </w:rPr>
        <w:t xml:space="preserve">(Climate Zone </w:t>
      </w:r>
      <w:r w:rsidR="00BA3778" w:rsidRPr="00334F9E">
        <w:rPr>
          <w:rFonts w:ascii="Arial" w:hAnsi="Arial" w:cs="Arial"/>
        </w:rPr>
        <w:t xml:space="preserve">2 &amp; </w:t>
      </w:r>
      <w:r w:rsidRPr="00334F9E">
        <w:rPr>
          <w:rFonts w:ascii="Arial" w:hAnsi="Arial" w:cs="Arial"/>
        </w:rPr>
        <w:t>3 of the IECC)</w:t>
      </w:r>
    </w:p>
    <w:p w14:paraId="7BA8004B" w14:textId="77777777" w:rsidR="00DC04BC" w:rsidRPr="00334F9E" w:rsidRDefault="00DC04BC" w:rsidP="00DC04BC">
      <w:pPr>
        <w:jc w:val="center"/>
        <w:outlineLvl w:val="0"/>
        <w:rPr>
          <w:rFonts w:ascii="Arial" w:hAnsi="Arial" w:cs="Arial"/>
        </w:rPr>
      </w:pPr>
    </w:p>
    <w:p w14:paraId="7720314F" w14:textId="0E1691BE" w:rsidR="009639B8" w:rsidRPr="00334F9E" w:rsidRDefault="009639B8" w:rsidP="0004747A">
      <w:pPr>
        <w:jc w:val="both"/>
        <w:rPr>
          <w:rFonts w:ascii="Arial" w:hAnsi="Arial" w:cs="Arial"/>
        </w:rPr>
      </w:pPr>
      <w:r w:rsidRPr="00334F9E">
        <w:rPr>
          <w:rFonts w:ascii="Arial" w:hAnsi="Arial" w:cs="Arial"/>
        </w:rPr>
        <w:t xml:space="preserve">The following </w:t>
      </w:r>
      <w:r w:rsidR="003565ED">
        <w:rPr>
          <w:rFonts w:ascii="Arial" w:hAnsi="Arial" w:cs="Arial"/>
        </w:rPr>
        <w:t>section</w:t>
      </w:r>
      <w:r w:rsidRPr="00334F9E">
        <w:rPr>
          <w:rFonts w:ascii="Arial" w:hAnsi="Arial" w:cs="Arial"/>
        </w:rPr>
        <w:t xml:space="preserve"> of the </w:t>
      </w:r>
      <w:r w:rsidR="00E9577B" w:rsidRPr="00334F9E">
        <w:rPr>
          <w:rFonts w:ascii="Arial" w:hAnsi="Arial" w:cs="Arial"/>
          <w:bCs/>
          <w:i/>
          <w:iCs/>
        </w:rPr>
        <w:t>20</w:t>
      </w:r>
      <w:r w:rsidR="000066E4" w:rsidRPr="00334F9E">
        <w:rPr>
          <w:rFonts w:ascii="Arial" w:hAnsi="Arial" w:cs="Arial"/>
          <w:bCs/>
          <w:i/>
          <w:iCs/>
        </w:rPr>
        <w:t>21</w:t>
      </w:r>
      <w:r w:rsidRPr="00334F9E">
        <w:rPr>
          <w:rFonts w:ascii="Arial" w:hAnsi="Arial" w:cs="Arial"/>
          <w:bCs/>
          <w:i/>
          <w:iCs/>
        </w:rPr>
        <w:t xml:space="preserve"> International Energy Conservation Code</w:t>
      </w:r>
      <w:r w:rsidRPr="00334F9E">
        <w:rPr>
          <w:rFonts w:ascii="Arial" w:hAnsi="Arial" w:cs="Arial"/>
        </w:rPr>
        <w:t xml:space="preserve"> </w:t>
      </w:r>
      <w:r w:rsidR="00B62FE8" w:rsidRPr="00334F9E">
        <w:rPr>
          <w:rFonts w:ascii="Arial" w:hAnsi="Arial" w:cs="Arial"/>
        </w:rPr>
        <w:t xml:space="preserve">(IECC) </w:t>
      </w:r>
      <w:r w:rsidR="003565ED">
        <w:rPr>
          <w:rFonts w:ascii="Arial" w:hAnsi="Arial" w:cs="Arial"/>
        </w:rPr>
        <w:t>is</w:t>
      </w:r>
      <w:r w:rsidRPr="00334F9E">
        <w:rPr>
          <w:rFonts w:ascii="Arial" w:hAnsi="Arial" w:cs="Arial"/>
        </w:rPr>
        <w:t xml:space="preserve"> hereby amended as follows: Standard type is text from the IECC. </w:t>
      </w:r>
      <w:r w:rsidRPr="00334F9E">
        <w:rPr>
          <w:rFonts w:ascii="Arial" w:hAnsi="Arial" w:cs="Arial"/>
          <w:u w:val="single"/>
        </w:rPr>
        <w:t xml:space="preserve">Underlined type is text inserted. </w:t>
      </w:r>
      <w:r w:rsidRPr="00334F9E">
        <w:rPr>
          <w:rFonts w:ascii="Arial" w:hAnsi="Arial" w:cs="Arial"/>
          <w:strike/>
        </w:rPr>
        <w:t>Lined through type is deleted text from IECC.</w:t>
      </w:r>
      <w:r w:rsidRPr="00334F9E">
        <w:rPr>
          <w:rFonts w:ascii="Arial" w:hAnsi="Arial" w:cs="Arial"/>
        </w:rPr>
        <w:t xml:space="preserve"> A double</w:t>
      </w:r>
      <w:r w:rsidR="00B62FE8" w:rsidRPr="00334F9E">
        <w:rPr>
          <w:rFonts w:ascii="Arial" w:hAnsi="Arial" w:cs="Arial"/>
        </w:rPr>
        <w:t xml:space="preserve"> (</w:t>
      </w:r>
      <w:r w:rsidR="00B62FE8" w:rsidRPr="00334F9E">
        <w:rPr>
          <w:rFonts w:ascii="Arial" w:hAnsi="Arial" w:cs="Arial"/>
          <w:b/>
        </w:rPr>
        <w:t>**</w:t>
      </w:r>
      <w:r w:rsidR="00B62FE8" w:rsidRPr="00334F9E">
        <w:rPr>
          <w:rFonts w:ascii="Arial" w:hAnsi="Arial" w:cs="Arial"/>
        </w:rPr>
        <w:t>)</w:t>
      </w:r>
      <w:r w:rsidRPr="00334F9E">
        <w:rPr>
          <w:rFonts w:ascii="Arial" w:hAnsi="Arial" w:cs="Arial"/>
        </w:rPr>
        <w:t xml:space="preserve"> asterisk at the beginning of a section identifies an amendment carried over from the </w:t>
      </w:r>
      <w:r w:rsidR="0041286E" w:rsidRPr="00334F9E">
        <w:rPr>
          <w:rFonts w:ascii="Arial" w:hAnsi="Arial" w:cs="Arial"/>
        </w:rPr>
        <w:t>20</w:t>
      </w:r>
      <w:r w:rsidR="0002181B" w:rsidRPr="00334F9E">
        <w:rPr>
          <w:rFonts w:ascii="Arial" w:hAnsi="Arial" w:cs="Arial"/>
        </w:rPr>
        <w:t>21</w:t>
      </w:r>
      <w:r w:rsidRPr="00334F9E">
        <w:rPr>
          <w:rFonts w:ascii="Arial" w:hAnsi="Arial" w:cs="Arial"/>
        </w:rPr>
        <w:t xml:space="preserve"> edition of the code and a triple </w:t>
      </w:r>
      <w:r w:rsidR="00B62FE8" w:rsidRPr="00334F9E">
        <w:rPr>
          <w:rFonts w:ascii="Arial" w:hAnsi="Arial" w:cs="Arial"/>
        </w:rPr>
        <w:t xml:space="preserve">(***) </w:t>
      </w:r>
      <w:r w:rsidRPr="00334F9E">
        <w:rPr>
          <w:rFonts w:ascii="Arial" w:hAnsi="Arial" w:cs="Arial"/>
        </w:rPr>
        <w:t xml:space="preserve">asterisk identifies a new or revised amendment with the </w:t>
      </w:r>
      <w:r w:rsidR="00E9577B" w:rsidRPr="00334F9E">
        <w:rPr>
          <w:rFonts w:ascii="Arial" w:hAnsi="Arial" w:cs="Arial"/>
        </w:rPr>
        <w:t>20</w:t>
      </w:r>
      <w:r w:rsidR="000066E4" w:rsidRPr="00334F9E">
        <w:rPr>
          <w:rFonts w:ascii="Arial" w:hAnsi="Arial" w:cs="Arial"/>
        </w:rPr>
        <w:t>2</w:t>
      </w:r>
      <w:r w:rsidR="0002181B" w:rsidRPr="00334F9E">
        <w:rPr>
          <w:rFonts w:ascii="Arial" w:hAnsi="Arial" w:cs="Arial"/>
        </w:rPr>
        <w:t>4</w:t>
      </w:r>
      <w:r w:rsidRPr="00334F9E">
        <w:rPr>
          <w:rFonts w:ascii="Arial" w:hAnsi="Arial" w:cs="Arial"/>
        </w:rPr>
        <w:t xml:space="preserve"> code.</w:t>
      </w:r>
      <w:r w:rsidR="00107955" w:rsidRPr="00334F9E">
        <w:rPr>
          <w:rFonts w:ascii="Arial" w:hAnsi="Arial" w:cs="Arial"/>
        </w:rPr>
        <w:t xml:space="preserve"> </w:t>
      </w:r>
      <w:r w:rsidR="00FB188E" w:rsidRPr="00334F9E">
        <w:rPr>
          <w:rFonts w:ascii="Arial" w:hAnsi="Arial" w:cs="Arial"/>
        </w:rPr>
        <w:t>Section number</w:t>
      </w:r>
      <w:r w:rsidR="004859FF" w:rsidRPr="00334F9E">
        <w:rPr>
          <w:rFonts w:ascii="Arial" w:hAnsi="Arial" w:cs="Arial"/>
        </w:rPr>
        <w:t>s</w:t>
      </w:r>
      <w:r w:rsidR="00FB188E" w:rsidRPr="00334F9E">
        <w:rPr>
          <w:rFonts w:ascii="Arial" w:hAnsi="Arial" w:cs="Arial"/>
        </w:rPr>
        <w:t xml:space="preserve"> in parenthesis represent the corresponding numbers of the energy provisions of the 20</w:t>
      </w:r>
      <w:r w:rsidR="000066E4" w:rsidRPr="00334F9E">
        <w:rPr>
          <w:rFonts w:ascii="Arial" w:hAnsi="Arial" w:cs="Arial"/>
        </w:rPr>
        <w:t>21</w:t>
      </w:r>
      <w:r w:rsidR="00FB188E" w:rsidRPr="00334F9E">
        <w:rPr>
          <w:rFonts w:ascii="Arial" w:hAnsi="Arial" w:cs="Arial"/>
        </w:rPr>
        <w:t xml:space="preserve"> </w:t>
      </w:r>
      <w:r w:rsidR="00AB2A4A" w:rsidRPr="00334F9E">
        <w:rPr>
          <w:rFonts w:ascii="Arial" w:hAnsi="Arial" w:cs="Arial"/>
          <w:i/>
        </w:rPr>
        <w:t>International Residential Code</w:t>
      </w:r>
      <w:r w:rsidR="00AB2A4A" w:rsidRPr="00334F9E">
        <w:rPr>
          <w:rFonts w:ascii="Arial" w:hAnsi="Arial" w:cs="Arial"/>
        </w:rPr>
        <w:t xml:space="preserve"> for </w:t>
      </w:r>
      <w:r w:rsidR="00AB485F" w:rsidRPr="00334F9E">
        <w:rPr>
          <w:rFonts w:ascii="Arial" w:hAnsi="Arial" w:cs="Arial"/>
        </w:rPr>
        <w:t xml:space="preserve">parallel </w:t>
      </w:r>
      <w:r w:rsidR="00AB2A4A" w:rsidRPr="00334F9E">
        <w:rPr>
          <w:rFonts w:ascii="Arial" w:hAnsi="Arial" w:cs="Arial"/>
        </w:rPr>
        <w:t>amendments.</w:t>
      </w:r>
    </w:p>
    <w:p w14:paraId="29108B7A" w14:textId="77777777" w:rsidR="00C4146B" w:rsidRPr="00334F9E" w:rsidRDefault="00C4146B" w:rsidP="0004747A">
      <w:pPr>
        <w:jc w:val="both"/>
        <w:rPr>
          <w:rFonts w:ascii="Arial" w:hAnsi="Arial" w:cs="Arial"/>
        </w:rPr>
      </w:pPr>
      <w:bookmarkStart w:id="0" w:name="_Hlk75775743"/>
    </w:p>
    <w:p w14:paraId="7AC390D2" w14:textId="77777777" w:rsidR="00F61DDA" w:rsidRPr="00334F9E" w:rsidRDefault="00F61DDA" w:rsidP="00F61DDA">
      <w:pPr>
        <w:shd w:val="clear" w:color="auto" w:fill="A0A0A0"/>
        <w:jc w:val="both"/>
        <w:rPr>
          <w:rFonts w:ascii="Arial" w:hAnsi="Arial" w:cs="Arial"/>
          <w:b/>
        </w:rPr>
      </w:pPr>
    </w:p>
    <w:p w14:paraId="3B97CFC3" w14:textId="77777777" w:rsidR="00F61DDA" w:rsidRPr="00334F9E" w:rsidRDefault="00F61DDA" w:rsidP="0004747A">
      <w:pPr>
        <w:jc w:val="both"/>
        <w:rPr>
          <w:rFonts w:ascii="Arial" w:hAnsi="Arial" w:cs="Arial"/>
        </w:rPr>
      </w:pPr>
    </w:p>
    <w:bookmarkEnd w:id="0"/>
    <w:p w14:paraId="4A0A2EE6" w14:textId="7E27E949" w:rsidR="00D6774E" w:rsidRDefault="0002181B" w:rsidP="00021B04">
      <w:pPr>
        <w:jc w:val="center"/>
        <w:rPr>
          <w:rFonts w:ascii="Arial" w:hAnsi="Arial" w:cs="Arial"/>
          <w:b/>
          <w:kern w:val="28"/>
        </w:rPr>
      </w:pPr>
      <w:r w:rsidRPr="00334F9E">
        <w:rPr>
          <w:rFonts w:ascii="Arial" w:hAnsi="Arial" w:cs="Arial"/>
          <w:b/>
          <w:kern w:val="28"/>
        </w:rPr>
        <w:t>2024</w:t>
      </w:r>
      <w:r w:rsidR="008E7DCA" w:rsidRPr="00334F9E">
        <w:rPr>
          <w:rFonts w:ascii="Arial" w:hAnsi="Arial" w:cs="Arial"/>
          <w:b/>
          <w:kern w:val="28"/>
        </w:rPr>
        <w:t xml:space="preserve"> </w:t>
      </w:r>
      <w:r w:rsidR="00107955" w:rsidRPr="00334F9E">
        <w:rPr>
          <w:rFonts w:ascii="Arial" w:hAnsi="Arial" w:cs="Arial"/>
          <w:b/>
          <w:kern w:val="28"/>
        </w:rPr>
        <w:t>IE</w:t>
      </w:r>
      <w:r w:rsidR="008E7DCA" w:rsidRPr="00334F9E">
        <w:rPr>
          <w:rFonts w:ascii="Arial" w:hAnsi="Arial" w:cs="Arial"/>
          <w:b/>
          <w:kern w:val="28"/>
        </w:rPr>
        <w:t>CC</w:t>
      </w:r>
      <w:r w:rsidR="00107955" w:rsidRPr="00334F9E">
        <w:rPr>
          <w:rFonts w:ascii="Arial" w:hAnsi="Arial" w:cs="Arial"/>
          <w:b/>
          <w:kern w:val="28"/>
        </w:rPr>
        <w:t xml:space="preserve"> (Energy Provisions of the </w:t>
      </w:r>
      <w:r w:rsidRPr="00334F9E">
        <w:rPr>
          <w:rFonts w:ascii="Arial" w:hAnsi="Arial" w:cs="Arial"/>
          <w:b/>
          <w:kern w:val="28"/>
        </w:rPr>
        <w:t>2024</w:t>
      </w:r>
      <w:r w:rsidR="00107955" w:rsidRPr="00334F9E">
        <w:rPr>
          <w:rFonts w:ascii="Arial" w:hAnsi="Arial" w:cs="Arial"/>
          <w:b/>
          <w:kern w:val="28"/>
        </w:rPr>
        <w:t xml:space="preserve"> IRC)</w:t>
      </w:r>
    </w:p>
    <w:p w14:paraId="43C8220D" w14:textId="77777777" w:rsidR="003565ED" w:rsidRPr="00334F9E" w:rsidRDefault="003565ED" w:rsidP="00021B04">
      <w:pPr>
        <w:jc w:val="center"/>
        <w:rPr>
          <w:rFonts w:ascii="Arial" w:hAnsi="Arial" w:cs="Arial"/>
        </w:rPr>
      </w:pPr>
    </w:p>
    <w:p w14:paraId="5BAA7F6D" w14:textId="77777777" w:rsidR="00EF7266" w:rsidRPr="00334F9E" w:rsidRDefault="00EF7266" w:rsidP="00EF7266">
      <w:pPr>
        <w:shd w:val="clear" w:color="auto" w:fill="A0A0A0"/>
        <w:jc w:val="both"/>
        <w:rPr>
          <w:rFonts w:ascii="Arial" w:hAnsi="Arial" w:cs="Arial"/>
          <w:b/>
        </w:rPr>
      </w:pPr>
    </w:p>
    <w:p w14:paraId="531C1765" w14:textId="77777777" w:rsidR="003565ED" w:rsidRDefault="003565ED" w:rsidP="001A705B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1215DC89" w14:textId="26A4F7CE" w:rsidR="001A705B" w:rsidRDefault="001A705B" w:rsidP="001A705B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  <w:r w:rsidRPr="00334F9E">
        <w:rPr>
          <w:rFonts w:ascii="Arial" w:hAnsi="Arial" w:cs="Arial"/>
          <w:b/>
          <w:u w:val="single"/>
        </w:rPr>
        <w:t>**</w:t>
      </w:r>
      <w:r w:rsidR="00D105DF">
        <w:rPr>
          <w:rFonts w:ascii="Arial" w:hAnsi="Arial" w:cs="Arial"/>
          <w:b/>
          <w:u w:val="single"/>
        </w:rPr>
        <w:t>*</w:t>
      </w:r>
      <w:r w:rsidRPr="00D105DF">
        <w:rPr>
          <w:rFonts w:ascii="Arial" w:hAnsi="Arial" w:cs="Arial"/>
          <w:b/>
        </w:rPr>
        <w:t xml:space="preserve">Section </w:t>
      </w:r>
      <w:r w:rsidR="00543CDB" w:rsidRPr="00D105DF">
        <w:rPr>
          <w:rFonts w:ascii="Arial" w:hAnsi="Arial" w:cs="Arial"/>
          <w:b/>
        </w:rPr>
        <w:t>C</w:t>
      </w:r>
      <w:r w:rsidRPr="00D105DF">
        <w:rPr>
          <w:rFonts w:ascii="Arial" w:hAnsi="Arial" w:cs="Arial"/>
          <w:b/>
        </w:rPr>
        <w:t xml:space="preserve">405.2.10 </w:t>
      </w:r>
      <w:r w:rsidR="003565ED" w:rsidRPr="00D105DF">
        <w:rPr>
          <w:rFonts w:ascii="Arial" w:hAnsi="Arial" w:cs="Arial"/>
          <w:b/>
        </w:rPr>
        <w:t>Simulated building performance compliance. (IRC N1105.2); amend to read as follows:</w:t>
      </w:r>
    </w:p>
    <w:p w14:paraId="3756987B" w14:textId="77777777" w:rsidR="003565ED" w:rsidRDefault="003565ED" w:rsidP="001A705B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5F9D91CE" w14:textId="77777777" w:rsidR="003565ED" w:rsidRDefault="003565ED" w:rsidP="001A705B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61F967E7" w14:textId="77777777" w:rsidR="003565ED" w:rsidRPr="003565ED" w:rsidRDefault="003565ED" w:rsidP="003565ED">
      <w:pPr>
        <w:kinsoku w:val="0"/>
        <w:overflowPunct w:val="0"/>
        <w:autoSpaceDE w:val="0"/>
        <w:autoSpaceDN w:val="0"/>
        <w:adjustRightInd w:val="0"/>
        <w:spacing w:line="258" w:lineRule="exact"/>
        <w:ind w:left="39"/>
        <w:rPr>
          <w:rFonts w:eastAsia="Calibri"/>
          <w:i/>
          <w:iCs/>
          <w:sz w:val="24"/>
          <w:szCs w:val="24"/>
        </w:rPr>
      </w:pPr>
      <w:r w:rsidRPr="003565ED">
        <w:rPr>
          <w:rFonts w:eastAsia="Calibri"/>
          <w:sz w:val="24"/>
          <w:szCs w:val="24"/>
        </w:rPr>
        <w:t xml:space="preserve">Compliance based on </w:t>
      </w:r>
      <w:r w:rsidRPr="003565ED">
        <w:rPr>
          <w:rFonts w:eastAsia="Calibri"/>
          <w:i/>
          <w:iCs/>
          <w:sz w:val="24"/>
          <w:szCs w:val="24"/>
        </w:rPr>
        <w:t xml:space="preserve">simulated building performance </w:t>
      </w:r>
      <w:r w:rsidRPr="003565ED">
        <w:rPr>
          <w:rFonts w:eastAsia="Calibri"/>
          <w:sz w:val="24"/>
          <w:szCs w:val="24"/>
        </w:rPr>
        <w:t xml:space="preserve">requires that a </w:t>
      </w:r>
      <w:r w:rsidRPr="003565ED">
        <w:rPr>
          <w:rFonts w:eastAsia="Calibri"/>
          <w:i/>
          <w:iCs/>
          <w:sz w:val="24"/>
          <w:szCs w:val="24"/>
        </w:rPr>
        <w:t>building</w:t>
      </w:r>
    </w:p>
    <w:p w14:paraId="3813F604" w14:textId="10AA7B3E" w:rsidR="003565ED" w:rsidRPr="003565ED" w:rsidRDefault="000262CC" w:rsidP="001F639A">
      <w:pPr>
        <w:kinsoku w:val="0"/>
        <w:overflowPunct w:val="0"/>
        <w:autoSpaceDE w:val="0"/>
        <w:autoSpaceDN w:val="0"/>
        <w:adjustRightInd w:val="0"/>
        <w:spacing w:line="258" w:lineRule="exac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 w:rsidR="003565ED" w:rsidRPr="003565ED">
        <w:rPr>
          <w:rFonts w:eastAsia="Calibri"/>
          <w:sz w:val="24"/>
          <w:szCs w:val="24"/>
        </w:rPr>
        <w:t>comply with the following:</w:t>
      </w:r>
    </w:p>
    <w:p w14:paraId="70D1BCE9" w14:textId="77777777" w:rsidR="003565ED" w:rsidRPr="003565ED" w:rsidRDefault="003565ED" w:rsidP="003565ED">
      <w:pPr>
        <w:kinsoku w:val="0"/>
        <w:overflowPunct w:val="0"/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14:paraId="39491F18" w14:textId="77777777" w:rsidR="003565ED" w:rsidRPr="003565ED" w:rsidRDefault="003565ED" w:rsidP="003565ED">
      <w:pPr>
        <w:numPr>
          <w:ilvl w:val="0"/>
          <w:numId w:val="17"/>
        </w:numPr>
        <w:tabs>
          <w:tab w:val="left" w:pos="438"/>
        </w:tabs>
        <w:kinsoku w:val="0"/>
        <w:overflowPunct w:val="0"/>
        <w:autoSpaceDE w:val="0"/>
        <w:autoSpaceDN w:val="0"/>
        <w:adjustRightInd w:val="0"/>
        <w:ind w:left="438" w:hanging="239"/>
        <w:rPr>
          <w:rFonts w:eastAsia="Calibri"/>
          <w:sz w:val="24"/>
          <w:szCs w:val="24"/>
        </w:rPr>
      </w:pPr>
      <w:r w:rsidRPr="003565ED">
        <w:rPr>
          <w:rFonts w:eastAsia="Calibri"/>
          <w:sz w:val="24"/>
          <w:szCs w:val="24"/>
        </w:rPr>
        <w:t>The requirements of the sections indicated within Table R405.2.</w:t>
      </w:r>
    </w:p>
    <w:p w14:paraId="453ABDA6" w14:textId="77777777" w:rsidR="003565ED" w:rsidRPr="003565ED" w:rsidRDefault="003565ED" w:rsidP="003565ED">
      <w:pPr>
        <w:kinsoku w:val="0"/>
        <w:overflowPunct w:val="0"/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14:paraId="798A72A7" w14:textId="5A310555" w:rsidR="003565ED" w:rsidRPr="003565ED" w:rsidRDefault="003565ED" w:rsidP="003565ED">
      <w:pPr>
        <w:numPr>
          <w:ilvl w:val="0"/>
          <w:numId w:val="17"/>
        </w:numPr>
        <w:tabs>
          <w:tab w:val="left" w:pos="439"/>
        </w:tabs>
        <w:kinsoku w:val="0"/>
        <w:overflowPunct w:val="0"/>
        <w:autoSpaceDE w:val="0"/>
        <w:autoSpaceDN w:val="0"/>
        <w:adjustRightInd w:val="0"/>
        <w:ind w:left="199" w:right="429" w:firstLine="0"/>
        <w:rPr>
          <w:rFonts w:eastAsia="Calibri"/>
          <w:sz w:val="24"/>
          <w:szCs w:val="24"/>
        </w:rPr>
      </w:pPr>
      <w:r w:rsidRPr="003565ED">
        <w:rPr>
          <w:rFonts w:eastAsia="Calibri"/>
          <w:sz w:val="24"/>
          <w:szCs w:val="24"/>
        </w:rPr>
        <w:t>The</w:t>
      </w:r>
      <w:r w:rsidRPr="003565ED">
        <w:rPr>
          <w:rFonts w:eastAsia="Calibri"/>
          <w:spacing w:val="-2"/>
          <w:sz w:val="24"/>
          <w:szCs w:val="24"/>
        </w:rPr>
        <w:t xml:space="preserve"> </w:t>
      </w:r>
      <w:r w:rsidRPr="003565ED">
        <w:rPr>
          <w:rFonts w:eastAsia="Calibri"/>
          <w:sz w:val="24"/>
          <w:szCs w:val="24"/>
        </w:rPr>
        <w:t xml:space="preserve">proposed total </w:t>
      </w:r>
      <w:r w:rsidRPr="003565ED">
        <w:rPr>
          <w:rFonts w:eastAsia="Calibri"/>
          <w:i/>
          <w:iCs/>
          <w:sz w:val="24"/>
          <w:szCs w:val="24"/>
        </w:rPr>
        <w:t xml:space="preserve">building thermal envelope </w:t>
      </w:r>
      <w:r w:rsidRPr="003565ED">
        <w:rPr>
          <w:rFonts w:eastAsia="Calibri"/>
          <w:sz w:val="24"/>
          <w:szCs w:val="24"/>
        </w:rPr>
        <w:t>thermal conductance (TC) shall be less than or equal to the</w:t>
      </w:r>
      <w:r w:rsidRPr="003565ED">
        <w:rPr>
          <w:rFonts w:eastAsia="Calibri"/>
          <w:spacing w:val="-1"/>
          <w:sz w:val="24"/>
          <w:szCs w:val="24"/>
        </w:rPr>
        <w:t xml:space="preserve"> </w:t>
      </w:r>
      <w:r w:rsidRPr="003565ED">
        <w:rPr>
          <w:rFonts w:eastAsia="Calibri"/>
          <w:sz w:val="24"/>
          <w:szCs w:val="24"/>
        </w:rPr>
        <w:t>required</w:t>
      </w:r>
      <w:r w:rsidRPr="003565ED">
        <w:rPr>
          <w:rFonts w:eastAsia="Calibri"/>
          <w:spacing w:val="-1"/>
          <w:sz w:val="24"/>
          <w:szCs w:val="24"/>
        </w:rPr>
        <w:t xml:space="preserve"> </w:t>
      </w:r>
      <w:r w:rsidRPr="003565ED">
        <w:rPr>
          <w:rFonts w:eastAsia="Calibri"/>
          <w:sz w:val="24"/>
          <w:szCs w:val="24"/>
        </w:rPr>
        <w:t xml:space="preserve">total </w:t>
      </w:r>
      <w:r w:rsidRPr="003565ED">
        <w:rPr>
          <w:rFonts w:eastAsia="Calibri"/>
          <w:i/>
          <w:iCs/>
          <w:sz w:val="24"/>
          <w:szCs w:val="24"/>
        </w:rPr>
        <w:t xml:space="preserve">building thermal envelope </w:t>
      </w:r>
      <w:r w:rsidRPr="003565ED">
        <w:rPr>
          <w:rFonts w:eastAsia="Calibri"/>
          <w:sz w:val="24"/>
          <w:szCs w:val="24"/>
        </w:rPr>
        <w:t>TC using the prescriptive U-factors and F-factors</w:t>
      </w:r>
      <w:r w:rsidRPr="003565ED">
        <w:rPr>
          <w:rFonts w:eastAsia="Calibri"/>
          <w:spacing w:val="-3"/>
          <w:sz w:val="24"/>
          <w:szCs w:val="24"/>
        </w:rPr>
        <w:t xml:space="preserve"> </w:t>
      </w:r>
      <w:r w:rsidRPr="003565ED">
        <w:rPr>
          <w:rFonts w:eastAsia="Calibri"/>
          <w:sz w:val="24"/>
          <w:szCs w:val="24"/>
        </w:rPr>
        <w:t>from</w:t>
      </w:r>
      <w:r w:rsidRPr="003565ED">
        <w:rPr>
          <w:rFonts w:eastAsia="Calibri"/>
          <w:spacing w:val="-5"/>
          <w:sz w:val="24"/>
          <w:szCs w:val="24"/>
        </w:rPr>
        <w:t xml:space="preserve"> </w:t>
      </w:r>
      <w:r w:rsidRPr="003565ED">
        <w:rPr>
          <w:rFonts w:eastAsia="Calibri"/>
          <w:sz w:val="24"/>
          <w:szCs w:val="24"/>
        </w:rPr>
        <w:t>Table R402.1.2</w:t>
      </w:r>
      <w:r w:rsidRPr="003565ED">
        <w:rPr>
          <w:rFonts w:eastAsia="Calibri"/>
          <w:spacing w:val="-1"/>
          <w:sz w:val="24"/>
          <w:szCs w:val="24"/>
        </w:rPr>
        <w:t xml:space="preserve"> </w:t>
      </w:r>
      <w:r w:rsidRPr="003565ED">
        <w:rPr>
          <w:rFonts w:eastAsia="Calibri"/>
          <w:sz w:val="24"/>
          <w:szCs w:val="24"/>
        </w:rPr>
        <w:t>multiplied</w:t>
      </w:r>
      <w:r w:rsidR="000262CC">
        <w:rPr>
          <w:rFonts w:eastAsia="Calibri"/>
          <w:sz w:val="24"/>
          <w:szCs w:val="24"/>
        </w:rPr>
        <w:t xml:space="preserve"> </w:t>
      </w:r>
      <w:r w:rsidR="001F639A">
        <w:rPr>
          <w:rFonts w:eastAsia="Calibri"/>
          <w:sz w:val="24"/>
          <w:szCs w:val="24"/>
        </w:rPr>
        <w:t xml:space="preserve">by 1.08 in Climate Zones 0, 1, and 2 </w:t>
      </w:r>
    </w:p>
    <w:p w14:paraId="4F5D5958" w14:textId="4F3B6CEB" w:rsidR="003565ED" w:rsidRPr="003565ED" w:rsidRDefault="003565ED" w:rsidP="003565ED">
      <w:pPr>
        <w:kinsoku w:val="0"/>
        <w:overflowPunct w:val="0"/>
        <w:autoSpaceDE w:val="0"/>
        <w:autoSpaceDN w:val="0"/>
        <w:adjustRightInd w:val="0"/>
        <w:spacing w:line="242" w:lineRule="auto"/>
        <w:ind w:left="199" w:right="329"/>
        <w:rPr>
          <w:rFonts w:eastAsia="Calibri"/>
          <w:sz w:val="24"/>
          <w:szCs w:val="24"/>
        </w:rPr>
      </w:pPr>
      <w:r w:rsidRPr="003565ED">
        <w:rPr>
          <w:rFonts w:eastAsia="Calibri"/>
          <w:sz w:val="24"/>
          <w:szCs w:val="24"/>
        </w:rPr>
        <w:t>1.15 in Climate Zones 3 through 8, in accordance with Equation 4-2 and Section R402.1.5.</w:t>
      </w:r>
      <w:r w:rsidRPr="003565ED">
        <w:rPr>
          <w:rFonts w:eastAsia="Calibri"/>
          <w:spacing w:val="66"/>
          <w:sz w:val="24"/>
          <w:szCs w:val="24"/>
        </w:rPr>
        <w:t xml:space="preserve"> </w:t>
      </w:r>
      <w:r w:rsidRPr="003565ED">
        <w:rPr>
          <w:rFonts w:eastAsia="Calibri"/>
          <w:sz w:val="24"/>
          <w:szCs w:val="24"/>
        </w:rPr>
        <w:t>The area-weighted</w:t>
      </w:r>
      <w:r w:rsidR="001F639A">
        <w:rPr>
          <w:rFonts w:eastAsia="Calibri"/>
          <w:sz w:val="24"/>
          <w:szCs w:val="24"/>
        </w:rPr>
        <w:t xml:space="preserve"> maximum fenestration SHGC permitted in Climate Zones 0 through 3</w:t>
      </w:r>
    </w:p>
    <w:p w14:paraId="4B39555E" w14:textId="5582A522" w:rsidR="003565ED" w:rsidRPr="003565ED" w:rsidRDefault="003565ED" w:rsidP="003565ED">
      <w:pPr>
        <w:kinsoku w:val="0"/>
        <w:overflowPunct w:val="0"/>
        <w:autoSpaceDE w:val="0"/>
        <w:autoSpaceDN w:val="0"/>
        <w:adjustRightInd w:val="0"/>
        <w:spacing w:line="242" w:lineRule="auto"/>
        <w:ind w:left="199" w:right="372"/>
        <w:rPr>
          <w:rFonts w:eastAsia="Calibri"/>
          <w:sz w:val="24"/>
          <w:szCs w:val="24"/>
        </w:rPr>
      </w:pPr>
      <w:r w:rsidRPr="003565ED">
        <w:rPr>
          <w:rFonts w:eastAsia="Calibri"/>
          <w:sz w:val="24"/>
          <w:szCs w:val="24"/>
        </w:rPr>
        <w:t>shall be 0.30.</w:t>
      </w:r>
    </w:p>
    <w:p w14:paraId="718CCD2A" w14:textId="77777777" w:rsidR="003565ED" w:rsidRPr="003565ED" w:rsidRDefault="003565ED" w:rsidP="003565ED">
      <w:pPr>
        <w:kinsoku w:val="0"/>
        <w:overflowPunct w:val="0"/>
        <w:autoSpaceDE w:val="0"/>
        <w:autoSpaceDN w:val="0"/>
        <w:adjustRightInd w:val="0"/>
        <w:spacing w:before="267" w:line="274" w:lineRule="exact"/>
        <w:ind w:left="199"/>
        <w:outlineLvl w:val="0"/>
        <w:rPr>
          <w:rFonts w:eastAsia="Calibri"/>
          <w:b/>
          <w:bCs/>
          <w:sz w:val="24"/>
          <w:szCs w:val="24"/>
        </w:rPr>
      </w:pPr>
      <w:r w:rsidRPr="003565ED">
        <w:rPr>
          <w:rFonts w:eastAsia="Calibri"/>
          <w:b/>
          <w:bCs/>
          <w:sz w:val="24"/>
          <w:szCs w:val="24"/>
        </w:rPr>
        <w:t>Equation 4-2</w:t>
      </w:r>
    </w:p>
    <w:p w14:paraId="41A7B22E" w14:textId="77777777" w:rsidR="003565ED" w:rsidRPr="003565ED" w:rsidRDefault="003565ED" w:rsidP="003565ED">
      <w:pPr>
        <w:kinsoku w:val="0"/>
        <w:overflowPunct w:val="0"/>
        <w:autoSpaceDE w:val="0"/>
        <w:autoSpaceDN w:val="0"/>
        <w:adjustRightInd w:val="0"/>
        <w:spacing w:line="277" w:lineRule="exact"/>
        <w:ind w:left="199"/>
        <w:rPr>
          <w:rFonts w:eastAsia="Calibri"/>
          <w:sz w:val="16"/>
          <w:szCs w:val="16"/>
        </w:rPr>
      </w:pPr>
      <w:r w:rsidRPr="003565ED">
        <w:rPr>
          <w:rFonts w:eastAsia="Calibri"/>
          <w:position w:val="2"/>
          <w:sz w:val="24"/>
          <w:szCs w:val="24"/>
        </w:rPr>
        <w:t xml:space="preserve">For Climate Zones 0-2: TC </w:t>
      </w:r>
      <w:r w:rsidRPr="003565ED">
        <w:rPr>
          <w:rFonts w:eastAsia="Calibri"/>
          <w:sz w:val="16"/>
          <w:szCs w:val="16"/>
        </w:rPr>
        <w:t>Proposed Design</w:t>
      </w:r>
      <w:r w:rsidRPr="003565ED">
        <w:rPr>
          <w:rFonts w:eastAsia="Calibri"/>
          <w:spacing w:val="33"/>
          <w:sz w:val="16"/>
          <w:szCs w:val="16"/>
        </w:rPr>
        <w:t xml:space="preserve"> </w:t>
      </w:r>
      <w:r w:rsidRPr="003565ED">
        <w:rPr>
          <w:rFonts w:eastAsia="Calibri"/>
          <w:position w:val="2"/>
          <w:sz w:val="24"/>
          <w:szCs w:val="24"/>
        </w:rPr>
        <w:t xml:space="preserve">≤ 1.08 x TC </w:t>
      </w:r>
      <w:r w:rsidRPr="003565ED">
        <w:rPr>
          <w:rFonts w:eastAsia="Calibri"/>
          <w:sz w:val="16"/>
          <w:szCs w:val="16"/>
        </w:rPr>
        <w:t>Prescriptive Reference Design</w:t>
      </w:r>
    </w:p>
    <w:p w14:paraId="596B542B" w14:textId="77777777" w:rsidR="003565ED" w:rsidRPr="003565ED" w:rsidRDefault="003565ED" w:rsidP="003565ED">
      <w:pPr>
        <w:kinsoku w:val="0"/>
        <w:overflowPunct w:val="0"/>
        <w:autoSpaceDE w:val="0"/>
        <w:autoSpaceDN w:val="0"/>
        <w:adjustRightInd w:val="0"/>
        <w:ind w:left="199"/>
        <w:rPr>
          <w:rFonts w:eastAsia="Calibri"/>
          <w:sz w:val="16"/>
          <w:szCs w:val="16"/>
        </w:rPr>
      </w:pPr>
      <w:r w:rsidRPr="003565ED">
        <w:rPr>
          <w:rFonts w:eastAsia="Calibri"/>
          <w:position w:val="2"/>
          <w:sz w:val="24"/>
          <w:szCs w:val="24"/>
        </w:rPr>
        <w:t xml:space="preserve">For Climate Zones 3-8: TC </w:t>
      </w:r>
      <w:r w:rsidRPr="003565ED">
        <w:rPr>
          <w:rFonts w:eastAsia="Calibri"/>
          <w:sz w:val="16"/>
          <w:szCs w:val="16"/>
        </w:rPr>
        <w:t>Proposed Design</w:t>
      </w:r>
      <w:r w:rsidRPr="003565ED">
        <w:rPr>
          <w:rFonts w:eastAsia="Calibri"/>
          <w:spacing w:val="33"/>
          <w:sz w:val="16"/>
          <w:szCs w:val="16"/>
        </w:rPr>
        <w:t xml:space="preserve"> </w:t>
      </w:r>
      <w:r w:rsidRPr="003565ED">
        <w:rPr>
          <w:rFonts w:eastAsia="Calibri"/>
          <w:position w:val="2"/>
          <w:sz w:val="24"/>
          <w:szCs w:val="24"/>
        </w:rPr>
        <w:t xml:space="preserve">≤ 1.15 x TC </w:t>
      </w:r>
      <w:r w:rsidRPr="003565ED">
        <w:rPr>
          <w:rFonts w:eastAsia="Calibri"/>
          <w:sz w:val="16"/>
          <w:szCs w:val="16"/>
        </w:rPr>
        <w:t>Prescriptive Reference Design</w:t>
      </w:r>
    </w:p>
    <w:p w14:paraId="0588DE13" w14:textId="77777777" w:rsidR="003565ED" w:rsidRPr="003565ED" w:rsidRDefault="003565ED" w:rsidP="003565ED">
      <w:pPr>
        <w:kinsoku w:val="0"/>
        <w:overflowPunct w:val="0"/>
        <w:autoSpaceDE w:val="0"/>
        <w:autoSpaceDN w:val="0"/>
        <w:adjustRightInd w:val="0"/>
        <w:spacing w:before="85"/>
        <w:rPr>
          <w:rFonts w:eastAsia="Calibri"/>
          <w:sz w:val="16"/>
          <w:szCs w:val="16"/>
        </w:rPr>
      </w:pPr>
    </w:p>
    <w:p w14:paraId="6EBC3A51" w14:textId="77777777" w:rsidR="003565ED" w:rsidRPr="003565ED" w:rsidRDefault="003565ED" w:rsidP="003565ED">
      <w:pPr>
        <w:numPr>
          <w:ilvl w:val="0"/>
          <w:numId w:val="17"/>
        </w:numPr>
        <w:tabs>
          <w:tab w:val="left" w:pos="381"/>
        </w:tabs>
        <w:kinsoku w:val="0"/>
        <w:overflowPunct w:val="0"/>
        <w:autoSpaceDE w:val="0"/>
        <w:autoSpaceDN w:val="0"/>
        <w:adjustRightInd w:val="0"/>
        <w:ind w:left="381" w:hanging="182"/>
        <w:rPr>
          <w:rFonts w:eastAsia="Calibri"/>
          <w:sz w:val="24"/>
          <w:szCs w:val="24"/>
        </w:rPr>
      </w:pPr>
      <w:r w:rsidRPr="003565ED">
        <w:rPr>
          <w:rFonts w:eastAsia="Calibri"/>
          <w:strike/>
          <w:sz w:val="24"/>
          <w:szCs w:val="24"/>
        </w:rPr>
        <w:t xml:space="preserve"> For each dwelling unit with one or more fuel-burning appliances for space</w:t>
      </w:r>
    </w:p>
    <w:p w14:paraId="46163734" w14:textId="77777777" w:rsidR="003565ED" w:rsidRPr="003565ED" w:rsidRDefault="003565ED" w:rsidP="003565ED">
      <w:pPr>
        <w:kinsoku w:val="0"/>
        <w:overflowPunct w:val="0"/>
        <w:autoSpaceDE w:val="0"/>
        <w:autoSpaceDN w:val="0"/>
        <w:adjustRightInd w:val="0"/>
        <w:spacing w:before="3"/>
        <w:ind w:left="199" w:right="372"/>
        <w:rPr>
          <w:rFonts w:eastAsia="Calibri"/>
          <w:sz w:val="24"/>
          <w:szCs w:val="24"/>
        </w:rPr>
      </w:pPr>
      <w:r w:rsidRPr="003565ED">
        <w:rPr>
          <w:rFonts w:eastAsia="Calibri"/>
          <w:strike/>
          <w:sz w:val="24"/>
          <w:szCs w:val="24"/>
        </w:rPr>
        <w:t>heating, water heating, or both, the</w:t>
      </w:r>
      <w:r w:rsidRPr="003565ED">
        <w:rPr>
          <w:rFonts w:eastAsia="Calibri"/>
          <w:strike/>
          <w:spacing w:val="-5"/>
          <w:sz w:val="24"/>
          <w:szCs w:val="24"/>
        </w:rPr>
        <w:t xml:space="preserve"> </w:t>
      </w:r>
      <w:r w:rsidRPr="003565ED">
        <w:rPr>
          <w:rFonts w:eastAsia="Calibri"/>
          <w:strike/>
          <w:sz w:val="24"/>
          <w:szCs w:val="24"/>
        </w:rPr>
        <w:t>annual energy</w:t>
      </w:r>
      <w:r w:rsidRPr="003565ED">
        <w:rPr>
          <w:rFonts w:eastAsia="Calibri"/>
          <w:strike/>
          <w:spacing w:val="-4"/>
          <w:sz w:val="24"/>
          <w:szCs w:val="24"/>
        </w:rPr>
        <w:t xml:space="preserve"> </w:t>
      </w:r>
      <w:r w:rsidRPr="003565ED">
        <w:rPr>
          <w:rFonts w:eastAsia="Calibri"/>
          <w:strike/>
          <w:sz w:val="24"/>
          <w:szCs w:val="24"/>
        </w:rPr>
        <w:t>cost of the dwelling</w:t>
      </w:r>
      <w:r w:rsidRPr="003565ED">
        <w:rPr>
          <w:rFonts w:eastAsia="Calibri"/>
          <w:strike/>
          <w:spacing w:val="-4"/>
          <w:sz w:val="24"/>
          <w:szCs w:val="24"/>
        </w:rPr>
        <w:t xml:space="preserve"> </w:t>
      </w:r>
      <w:r w:rsidRPr="003565ED">
        <w:rPr>
          <w:rFonts w:eastAsia="Calibri"/>
          <w:strike/>
          <w:sz w:val="24"/>
          <w:szCs w:val="24"/>
        </w:rPr>
        <w:t>unit</w:t>
      </w:r>
      <w:r w:rsidRPr="003565ED">
        <w:rPr>
          <w:rFonts w:eastAsia="Calibri"/>
          <w:strike/>
          <w:spacing w:val="-3"/>
          <w:sz w:val="24"/>
          <w:szCs w:val="24"/>
        </w:rPr>
        <w:t xml:space="preserve"> </w:t>
      </w:r>
      <w:r w:rsidRPr="003565ED">
        <w:rPr>
          <w:rFonts w:eastAsia="Calibri"/>
          <w:strike/>
          <w:sz w:val="24"/>
          <w:szCs w:val="24"/>
        </w:rPr>
        <w:t>shall</w:t>
      </w:r>
      <w:r w:rsidRPr="003565ED">
        <w:rPr>
          <w:rFonts w:eastAsia="Calibri"/>
          <w:spacing w:val="-1"/>
          <w:sz w:val="24"/>
          <w:szCs w:val="24"/>
        </w:rPr>
        <w:t xml:space="preserve"> </w:t>
      </w:r>
      <w:r w:rsidRPr="003565ED">
        <w:rPr>
          <w:rFonts w:eastAsia="Calibri"/>
          <w:strike/>
          <w:sz w:val="24"/>
          <w:szCs w:val="24"/>
        </w:rPr>
        <w:t>be less</w:t>
      </w:r>
      <w:r w:rsidRPr="003565ED">
        <w:rPr>
          <w:rFonts w:eastAsia="Calibri"/>
          <w:strike/>
          <w:spacing w:val="-2"/>
          <w:sz w:val="24"/>
          <w:szCs w:val="24"/>
        </w:rPr>
        <w:t xml:space="preserve"> </w:t>
      </w:r>
      <w:r w:rsidRPr="003565ED">
        <w:rPr>
          <w:rFonts w:eastAsia="Calibri"/>
          <w:strike/>
          <w:sz w:val="24"/>
          <w:szCs w:val="24"/>
        </w:rPr>
        <w:t>than or equal to</w:t>
      </w:r>
      <w:r w:rsidRPr="003565ED">
        <w:rPr>
          <w:rFonts w:eastAsia="Calibri"/>
          <w:strike/>
          <w:spacing w:val="-4"/>
          <w:sz w:val="24"/>
          <w:szCs w:val="24"/>
        </w:rPr>
        <w:t xml:space="preserve"> </w:t>
      </w:r>
      <w:r w:rsidRPr="003565ED">
        <w:rPr>
          <w:rFonts w:eastAsia="Calibri"/>
          <w:strike/>
          <w:sz w:val="24"/>
          <w:szCs w:val="24"/>
        </w:rPr>
        <w:t>80 percent of</w:t>
      </w:r>
      <w:r w:rsidRPr="003565ED">
        <w:rPr>
          <w:rFonts w:eastAsia="Calibri"/>
          <w:strike/>
          <w:spacing w:val="-2"/>
          <w:sz w:val="24"/>
          <w:szCs w:val="24"/>
        </w:rPr>
        <w:t xml:space="preserve"> </w:t>
      </w:r>
      <w:r w:rsidRPr="003565ED">
        <w:rPr>
          <w:rFonts w:eastAsia="Calibri"/>
          <w:strike/>
          <w:sz w:val="24"/>
          <w:szCs w:val="24"/>
        </w:rPr>
        <w:t>the annual energy cost of</w:t>
      </w:r>
      <w:r w:rsidRPr="003565ED">
        <w:rPr>
          <w:rFonts w:eastAsia="Calibri"/>
          <w:strike/>
          <w:spacing w:val="-2"/>
          <w:sz w:val="24"/>
          <w:szCs w:val="24"/>
        </w:rPr>
        <w:t xml:space="preserve"> </w:t>
      </w:r>
      <w:r w:rsidRPr="003565ED">
        <w:rPr>
          <w:rFonts w:eastAsia="Calibri"/>
          <w:strike/>
          <w:sz w:val="24"/>
          <w:szCs w:val="24"/>
        </w:rPr>
        <w:t>the standard</w:t>
      </w:r>
      <w:r w:rsidRPr="003565ED">
        <w:rPr>
          <w:rFonts w:eastAsia="Calibri"/>
          <w:spacing w:val="-1"/>
          <w:sz w:val="24"/>
          <w:szCs w:val="24"/>
        </w:rPr>
        <w:t xml:space="preserve"> </w:t>
      </w:r>
      <w:r w:rsidRPr="003565ED">
        <w:rPr>
          <w:rFonts w:eastAsia="Calibri"/>
          <w:strike/>
          <w:sz w:val="24"/>
          <w:szCs w:val="24"/>
        </w:rPr>
        <w:t>reference design.</w:t>
      </w:r>
      <w:r w:rsidRPr="003565ED">
        <w:rPr>
          <w:rFonts w:eastAsia="Calibri"/>
          <w:strike/>
          <w:spacing w:val="60"/>
          <w:sz w:val="24"/>
          <w:szCs w:val="24"/>
        </w:rPr>
        <w:t xml:space="preserve"> </w:t>
      </w:r>
      <w:r w:rsidRPr="003565ED">
        <w:rPr>
          <w:rFonts w:eastAsia="Calibri"/>
          <w:strike/>
          <w:sz w:val="24"/>
          <w:szCs w:val="24"/>
        </w:rPr>
        <w:t>For</w:t>
      </w:r>
      <w:r w:rsidRPr="003565ED">
        <w:rPr>
          <w:rFonts w:eastAsia="Calibri"/>
          <w:strike/>
          <w:spacing w:val="-2"/>
          <w:sz w:val="24"/>
          <w:szCs w:val="24"/>
        </w:rPr>
        <w:t xml:space="preserve"> </w:t>
      </w:r>
      <w:r w:rsidRPr="003565ED">
        <w:rPr>
          <w:rFonts w:eastAsia="Calibri"/>
          <w:strike/>
          <w:sz w:val="24"/>
          <w:szCs w:val="24"/>
        </w:rPr>
        <w:t>all other</w:t>
      </w:r>
      <w:r w:rsidRPr="003565ED">
        <w:rPr>
          <w:rFonts w:eastAsia="Calibri"/>
          <w:strike/>
          <w:spacing w:val="-3"/>
          <w:sz w:val="24"/>
          <w:szCs w:val="24"/>
        </w:rPr>
        <w:t xml:space="preserve"> </w:t>
      </w:r>
      <w:r w:rsidRPr="003565ED">
        <w:rPr>
          <w:rFonts w:eastAsia="Calibri"/>
          <w:strike/>
          <w:sz w:val="24"/>
          <w:szCs w:val="24"/>
        </w:rPr>
        <w:t>dwelling</w:t>
      </w:r>
      <w:r w:rsidRPr="003565ED">
        <w:rPr>
          <w:rFonts w:eastAsia="Calibri"/>
          <w:strike/>
          <w:spacing w:val="-4"/>
          <w:sz w:val="24"/>
          <w:szCs w:val="24"/>
        </w:rPr>
        <w:t xml:space="preserve"> </w:t>
      </w:r>
      <w:r w:rsidRPr="003565ED">
        <w:rPr>
          <w:rFonts w:eastAsia="Calibri"/>
          <w:strike/>
          <w:sz w:val="24"/>
          <w:szCs w:val="24"/>
        </w:rPr>
        <w:t>units, the</w:t>
      </w:r>
      <w:r w:rsidRPr="003565ED">
        <w:rPr>
          <w:rFonts w:eastAsia="Calibri"/>
          <w:strike/>
          <w:spacing w:val="-9"/>
          <w:sz w:val="24"/>
          <w:szCs w:val="24"/>
        </w:rPr>
        <w:t xml:space="preserve"> </w:t>
      </w:r>
      <w:r w:rsidRPr="003565ED">
        <w:rPr>
          <w:rFonts w:eastAsia="Calibri"/>
          <w:strike/>
          <w:sz w:val="24"/>
          <w:szCs w:val="24"/>
        </w:rPr>
        <w:t>annual energy cost of</w:t>
      </w:r>
      <w:r w:rsidRPr="003565ED">
        <w:rPr>
          <w:rFonts w:eastAsia="Calibri"/>
          <w:strike/>
          <w:spacing w:val="-2"/>
          <w:sz w:val="24"/>
          <w:szCs w:val="24"/>
        </w:rPr>
        <w:t xml:space="preserve"> </w:t>
      </w:r>
      <w:r w:rsidRPr="003565ED">
        <w:rPr>
          <w:rFonts w:eastAsia="Calibri"/>
          <w:strike/>
          <w:sz w:val="24"/>
          <w:szCs w:val="24"/>
        </w:rPr>
        <w:t>the</w:t>
      </w:r>
      <w:r w:rsidRPr="003565ED">
        <w:rPr>
          <w:rFonts w:eastAsia="Calibri"/>
          <w:spacing w:val="-1"/>
          <w:sz w:val="24"/>
          <w:szCs w:val="24"/>
        </w:rPr>
        <w:t xml:space="preserve"> </w:t>
      </w:r>
      <w:r w:rsidRPr="003565ED">
        <w:rPr>
          <w:rFonts w:eastAsia="Calibri"/>
          <w:strike/>
          <w:sz w:val="24"/>
          <w:szCs w:val="24"/>
        </w:rPr>
        <w:t>proposed design shall be less</w:t>
      </w:r>
      <w:r w:rsidRPr="003565ED">
        <w:rPr>
          <w:rFonts w:eastAsia="Calibri"/>
          <w:strike/>
          <w:spacing w:val="-2"/>
          <w:sz w:val="24"/>
          <w:szCs w:val="24"/>
        </w:rPr>
        <w:t xml:space="preserve"> </w:t>
      </w:r>
      <w:r w:rsidRPr="003565ED">
        <w:rPr>
          <w:rFonts w:eastAsia="Calibri"/>
          <w:strike/>
          <w:sz w:val="24"/>
          <w:szCs w:val="24"/>
        </w:rPr>
        <w:t>than or equal</w:t>
      </w:r>
      <w:r w:rsidRPr="003565ED">
        <w:rPr>
          <w:rFonts w:eastAsia="Calibri"/>
          <w:strike/>
          <w:spacing w:val="-4"/>
          <w:sz w:val="24"/>
          <w:szCs w:val="24"/>
        </w:rPr>
        <w:t xml:space="preserve"> </w:t>
      </w:r>
      <w:r w:rsidRPr="003565ED">
        <w:rPr>
          <w:rFonts w:eastAsia="Calibri"/>
          <w:strike/>
          <w:sz w:val="24"/>
          <w:szCs w:val="24"/>
        </w:rPr>
        <w:t>to 85</w:t>
      </w:r>
      <w:r w:rsidRPr="003565ED">
        <w:rPr>
          <w:rFonts w:eastAsia="Calibri"/>
          <w:strike/>
          <w:spacing w:val="-4"/>
          <w:sz w:val="24"/>
          <w:szCs w:val="24"/>
        </w:rPr>
        <w:t xml:space="preserve"> </w:t>
      </w:r>
      <w:r w:rsidRPr="003565ED">
        <w:rPr>
          <w:rFonts w:eastAsia="Calibri"/>
          <w:strike/>
          <w:sz w:val="24"/>
          <w:szCs w:val="24"/>
        </w:rPr>
        <w:t>percent of the</w:t>
      </w:r>
      <w:r w:rsidRPr="003565ED">
        <w:rPr>
          <w:rFonts w:eastAsia="Calibri"/>
          <w:strike/>
          <w:spacing w:val="-5"/>
          <w:sz w:val="24"/>
          <w:szCs w:val="24"/>
        </w:rPr>
        <w:t xml:space="preserve"> </w:t>
      </w:r>
      <w:r w:rsidRPr="003565ED">
        <w:rPr>
          <w:rFonts w:eastAsia="Calibri"/>
          <w:strike/>
          <w:sz w:val="24"/>
          <w:szCs w:val="24"/>
        </w:rPr>
        <w:t>annual energy</w:t>
      </w:r>
      <w:r w:rsidRPr="003565ED">
        <w:rPr>
          <w:rFonts w:eastAsia="Calibri"/>
          <w:spacing w:val="-1"/>
          <w:sz w:val="24"/>
          <w:szCs w:val="24"/>
        </w:rPr>
        <w:t xml:space="preserve"> </w:t>
      </w:r>
      <w:r w:rsidRPr="003565ED">
        <w:rPr>
          <w:rFonts w:eastAsia="Calibri"/>
          <w:strike/>
          <w:sz w:val="24"/>
          <w:szCs w:val="24"/>
        </w:rPr>
        <w:t>cost of the standard</w:t>
      </w:r>
      <w:r w:rsidRPr="003565ED">
        <w:rPr>
          <w:rFonts w:eastAsia="Calibri"/>
          <w:strike/>
          <w:spacing w:val="-2"/>
          <w:sz w:val="24"/>
          <w:szCs w:val="24"/>
        </w:rPr>
        <w:t xml:space="preserve"> </w:t>
      </w:r>
      <w:r w:rsidRPr="003565ED">
        <w:rPr>
          <w:rFonts w:eastAsia="Calibri"/>
          <w:strike/>
          <w:sz w:val="24"/>
          <w:szCs w:val="24"/>
        </w:rPr>
        <w:t>reference design.</w:t>
      </w:r>
      <w:r w:rsidRPr="003565ED">
        <w:rPr>
          <w:rFonts w:eastAsia="Calibri"/>
          <w:strike/>
          <w:spacing w:val="60"/>
          <w:sz w:val="24"/>
          <w:szCs w:val="24"/>
        </w:rPr>
        <w:t xml:space="preserve"> </w:t>
      </w:r>
      <w:r w:rsidRPr="003565ED">
        <w:rPr>
          <w:rFonts w:eastAsia="Calibri"/>
          <w:strike/>
          <w:sz w:val="24"/>
          <w:szCs w:val="24"/>
        </w:rPr>
        <w:t>For each dwelling unit with greater</w:t>
      </w:r>
      <w:r w:rsidRPr="003565ED">
        <w:rPr>
          <w:rFonts w:eastAsia="Calibri"/>
          <w:strike/>
          <w:spacing w:val="-3"/>
          <w:sz w:val="24"/>
          <w:szCs w:val="24"/>
        </w:rPr>
        <w:t xml:space="preserve"> </w:t>
      </w:r>
      <w:r w:rsidRPr="003565ED">
        <w:rPr>
          <w:rFonts w:eastAsia="Calibri"/>
          <w:strike/>
          <w:sz w:val="24"/>
          <w:szCs w:val="24"/>
        </w:rPr>
        <w:t>than</w:t>
      </w:r>
      <w:r w:rsidRPr="003565ED">
        <w:rPr>
          <w:rFonts w:eastAsia="Calibri"/>
          <w:spacing w:val="-1"/>
          <w:sz w:val="24"/>
          <w:szCs w:val="24"/>
        </w:rPr>
        <w:t xml:space="preserve"> </w:t>
      </w:r>
      <w:r w:rsidRPr="003565ED">
        <w:rPr>
          <w:rFonts w:eastAsia="Calibri"/>
          <w:strike/>
          <w:sz w:val="24"/>
          <w:szCs w:val="24"/>
        </w:rPr>
        <w:t>5,000 square feet</w:t>
      </w:r>
      <w:r w:rsidRPr="003565ED">
        <w:rPr>
          <w:rFonts w:eastAsia="Calibri"/>
          <w:strike/>
          <w:spacing w:val="-4"/>
          <w:sz w:val="24"/>
          <w:szCs w:val="24"/>
        </w:rPr>
        <w:t xml:space="preserve"> </w:t>
      </w:r>
      <w:r w:rsidRPr="003565ED">
        <w:rPr>
          <w:rFonts w:eastAsia="Calibri"/>
          <w:strike/>
          <w:sz w:val="24"/>
          <w:szCs w:val="24"/>
        </w:rPr>
        <w:t>(465m</w:t>
      </w:r>
      <w:r w:rsidRPr="003565ED">
        <w:rPr>
          <w:rFonts w:eastAsia="Calibri"/>
          <w:sz w:val="24"/>
          <w:szCs w:val="24"/>
          <w:vertAlign w:val="superscript"/>
        </w:rPr>
        <w:t>2</w:t>
      </w:r>
      <w:r w:rsidRPr="003565ED">
        <w:rPr>
          <w:rFonts w:eastAsia="Calibri"/>
          <w:strike/>
          <w:sz w:val="24"/>
          <w:szCs w:val="24"/>
        </w:rPr>
        <w:t>) of living space located above grade plane,</w:t>
      </w:r>
      <w:r w:rsidRPr="003565ED">
        <w:rPr>
          <w:rFonts w:eastAsia="Calibri"/>
          <w:strike/>
          <w:spacing w:val="-2"/>
          <w:sz w:val="24"/>
          <w:szCs w:val="24"/>
        </w:rPr>
        <w:t xml:space="preserve"> </w:t>
      </w:r>
      <w:r w:rsidRPr="003565ED">
        <w:rPr>
          <w:rFonts w:eastAsia="Calibri"/>
          <w:strike/>
          <w:sz w:val="24"/>
          <w:szCs w:val="24"/>
        </w:rPr>
        <w:t>the annual</w:t>
      </w:r>
      <w:r w:rsidRPr="003565ED">
        <w:rPr>
          <w:rFonts w:eastAsia="Calibri"/>
          <w:spacing w:val="-1"/>
          <w:sz w:val="24"/>
          <w:szCs w:val="24"/>
        </w:rPr>
        <w:t xml:space="preserve"> </w:t>
      </w:r>
      <w:r w:rsidRPr="003565ED">
        <w:rPr>
          <w:rFonts w:eastAsia="Calibri"/>
          <w:strike/>
          <w:sz w:val="24"/>
          <w:szCs w:val="24"/>
        </w:rPr>
        <w:t>energy cost of the</w:t>
      </w:r>
      <w:r w:rsidRPr="003565ED">
        <w:rPr>
          <w:rFonts w:eastAsia="Calibri"/>
          <w:strike/>
          <w:spacing w:val="-5"/>
          <w:sz w:val="24"/>
          <w:szCs w:val="24"/>
        </w:rPr>
        <w:t xml:space="preserve"> </w:t>
      </w:r>
      <w:r w:rsidRPr="003565ED">
        <w:rPr>
          <w:rFonts w:eastAsia="Calibri"/>
          <w:strike/>
          <w:sz w:val="24"/>
          <w:szCs w:val="24"/>
        </w:rPr>
        <w:t>dwelling unit</w:t>
      </w:r>
      <w:r w:rsidRPr="003565ED">
        <w:rPr>
          <w:rFonts w:eastAsia="Calibri"/>
          <w:strike/>
          <w:spacing w:val="-3"/>
          <w:sz w:val="24"/>
          <w:szCs w:val="24"/>
        </w:rPr>
        <w:t xml:space="preserve"> </w:t>
      </w:r>
      <w:r w:rsidRPr="003565ED">
        <w:rPr>
          <w:rFonts w:eastAsia="Calibri"/>
          <w:strike/>
          <w:sz w:val="24"/>
          <w:szCs w:val="24"/>
        </w:rPr>
        <w:t>shall be</w:t>
      </w:r>
      <w:r w:rsidRPr="003565ED">
        <w:rPr>
          <w:rFonts w:eastAsia="Calibri"/>
          <w:strike/>
          <w:spacing w:val="-5"/>
          <w:sz w:val="24"/>
          <w:szCs w:val="24"/>
        </w:rPr>
        <w:t xml:space="preserve"> </w:t>
      </w:r>
      <w:r w:rsidRPr="003565ED">
        <w:rPr>
          <w:rFonts w:eastAsia="Calibri"/>
          <w:strike/>
          <w:sz w:val="24"/>
          <w:szCs w:val="24"/>
        </w:rPr>
        <w:t>reduced by an additional 5</w:t>
      </w:r>
      <w:r w:rsidRPr="003565ED">
        <w:rPr>
          <w:rFonts w:eastAsia="Calibri"/>
          <w:strike/>
          <w:spacing w:val="-4"/>
          <w:sz w:val="24"/>
          <w:szCs w:val="24"/>
        </w:rPr>
        <w:t xml:space="preserve"> </w:t>
      </w:r>
      <w:r w:rsidRPr="003565ED">
        <w:rPr>
          <w:rFonts w:eastAsia="Calibri"/>
          <w:strike/>
          <w:sz w:val="24"/>
          <w:szCs w:val="24"/>
        </w:rPr>
        <w:t>percent of</w:t>
      </w:r>
    </w:p>
    <w:p w14:paraId="5D509071" w14:textId="77777777" w:rsidR="003565ED" w:rsidRPr="003565ED" w:rsidRDefault="003565ED" w:rsidP="003565ED">
      <w:pPr>
        <w:kinsoku w:val="0"/>
        <w:overflowPunct w:val="0"/>
        <w:autoSpaceDE w:val="0"/>
        <w:autoSpaceDN w:val="0"/>
        <w:adjustRightInd w:val="0"/>
        <w:spacing w:line="242" w:lineRule="auto"/>
        <w:ind w:left="199"/>
        <w:rPr>
          <w:rFonts w:eastAsia="Calibri"/>
          <w:sz w:val="24"/>
          <w:szCs w:val="24"/>
        </w:rPr>
      </w:pPr>
      <w:r w:rsidRPr="003565ED">
        <w:rPr>
          <w:rFonts w:eastAsia="Calibri"/>
          <w:strike/>
          <w:sz w:val="24"/>
          <w:szCs w:val="24"/>
        </w:rPr>
        <w:lastRenderedPageBreak/>
        <w:t>the annual energy cost of the standard reference design</w:t>
      </w:r>
      <w:r w:rsidRPr="003565ED">
        <w:rPr>
          <w:rFonts w:eastAsia="Calibri"/>
          <w:sz w:val="24"/>
          <w:szCs w:val="24"/>
        </w:rPr>
        <w:t>.</w:t>
      </w:r>
      <w:r w:rsidRPr="003565ED">
        <w:rPr>
          <w:rFonts w:eastAsia="Calibri"/>
          <w:spacing w:val="40"/>
          <w:sz w:val="24"/>
          <w:szCs w:val="24"/>
        </w:rPr>
        <w:t xml:space="preserve"> </w:t>
      </w:r>
      <w:r w:rsidRPr="003565ED">
        <w:rPr>
          <w:rFonts w:eastAsia="Calibri"/>
          <w:sz w:val="24"/>
          <w:szCs w:val="24"/>
          <w:u w:val="single"/>
        </w:rPr>
        <w:t>The annual energy cost</w:t>
      </w:r>
      <w:r w:rsidRPr="003565ED">
        <w:rPr>
          <w:rFonts w:eastAsia="Calibri"/>
          <w:sz w:val="24"/>
          <w:szCs w:val="24"/>
        </w:rPr>
        <w:t xml:space="preserve"> </w:t>
      </w:r>
      <w:r w:rsidRPr="003565ED">
        <w:rPr>
          <w:rFonts w:eastAsia="Calibri"/>
          <w:sz w:val="24"/>
          <w:szCs w:val="24"/>
          <w:u w:val="single"/>
        </w:rPr>
        <w:t>shall be less than or equal to the annual cost of the standard reference design.</w:t>
      </w:r>
    </w:p>
    <w:p w14:paraId="76C234FC" w14:textId="38B8CE5E" w:rsidR="003565ED" w:rsidRPr="003565ED" w:rsidRDefault="003565ED" w:rsidP="003565ED">
      <w:pPr>
        <w:kinsoku w:val="0"/>
        <w:overflowPunct w:val="0"/>
        <w:autoSpaceDE w:val="0"/>
        <w:autoSpaceDN w:val="0"/>
        <w:adjustRightInd w:val="0"/>
        <w:ind w:left="199" w:right="205"/>
        <w:rPr>
          <w:rFonts w:eastAsia="Calibri"/>
          <w:sz w:val="24"/>
          <w:szCs w:val="24"/>
        </w:rPr>
      </w:pPr>
      <w:r w:rsidRPr="003565ED">
        <w:rPr>
          <w:rFonts w:eastAsia="Calibri"/>
          <w:sz w:val="24"/>
          <w:szCs w:val="24"/>
        </w:rPr>
        <w:t>Energy prices shall be taken from an approved source, such as the US</w:t>
      </w:r>
      <w:r w:rsidRPr="003565ED">
        <w:rPr>
          <w:rFonts w:eastAsia="Calibri"/>
          <w:spacing w:val="-2"/>
          <w:sz w:val="24"/>
          <w:szCs w:val="24"/>
        </w:rPr>
        <w:t xml:space="preserve"> </w:t>
      </w:r>
      <w:r w:rsidRPr="003565ED">
        <w:rPr>
          <w:rFonts w:eastAsia="Calibri"/>
          <w:sz w:val="24"/>
          <w:szCs w:val="24"/>
        </w:rPr>
        <w:t>Energy Information</w:t>
      </w:r>
      <w:r w:rsidRPr="003565ED">
        <w:rPr>
          <w:rFonts w:eastAsia="Calibri"/>
          <w:spacing w:val="-11"/>
          <w:sz w:val="24"/>
          <w:szCs w:val="24"/>
        </w:rPr>
        <w:t xml:space="preserve"> </w:t>
      </w:r>
      <w:r w:rsidRPr="003565ED">
        <w:rPr>
          <w:rFonts w:eastAsia="Calibri"/>
          <w:sz w:val="24"/>
          <w:szCs w:val="24"/>
        </w:rPr>
        <w:t>Administration’s State</w:t>
      </w:r>
      <w:r w:rsidRPr="003565ED">
        <w:rPr>
          <w:rFonts w:eastAsia="Calibri"/>
          <w:spacing w:val="-3"/>
          <w:sz w:val="24"/>
          <w:szCs w:val="24"/>
        </w:rPr>
        <w:t xml:space="preserve"> </w:t>
      </w:r>
      <w:r w:rsidRPr="003565ED">
        <w:rPr>
          <w:rFonts w:eastAsia="Calibri"/>
          <w:sz w:val="24"/>
          <w:szCs w:val="24"/>
        </w:rPr>
        <w:t>Energy</w:t>
      </w:r>
      <w:r w:rsidRPr="003565ED">
        <w:rPr>
          <w:rFonts w:eastAsia="Calibri"/>
          <w:spacing w:val="-2"/>
          <w:sz w:val="24"/>
          <w:szCs w:val="24"/>
        </w:rPr>
        <w:t xml:space="preserve"> </w:t>
      </w:r>
      <w:r w:rsidRPr="003565ED">
        <w:rPr>
          <w:rFonts w:eastAsia="Calibri"/>
          <w:sz w:val="24"/>
          <w:szCs w:val="24"/>
        </w:rPr>
        <w:t>Data System prices and expenditures reports.</w:t>
      </w:r>
      <w:r w:rsidRPr="003565ED">
        <w:rPr>
          <w:rFonts w:eastAsia="Calibri"/>
          <w:spacing w:val="64"/>
          <w:sz w:val="24"/>
          <w:szCs w:val="24"/>
        </w:rPr>
        <w:t xml:space="preserve"> </w:t>
      </w:r>
      <w:r w:rsidRPr="003565ED">
        <w:rPr>
          <w:rFonts w:eastAsia="Calibri"/>
          <w:sz w:val="24"/>
          <w:szCs w:val="24"/>
        </w:rPr>
        <w:t>Code officials shall be</w:t>
      </w:r>
      <w:r w:rsidRPr="003565ED">
        <w:rPr>
          <w:rFonts w:eastAsia="Calibri"/>
          <w:spacing w:val="-3"/>
          <w:sz w:val="24"/>
          <w:szCs w:val="24"/>
        </w:rPr>
        <w:t xml:space="preserve"> </w:t>
      </w:r>
      <w:r w:rsidRPr="003565ED">
        <w:rPr>
          <w:rFonts w:eastAsia="Calibri"/>
          <w:sz w:val="24"/>
          <w:szCs w:val="24"/>
        </w:rPr>
        <w:t>permitted</w:t>
      </w:r>
      <w:r w:rsidRPr="003565ED">
        <w:rPr>
          <w:rFonts w:eastAsia="Calibri"/>
          <w:spacing w:val="-2"/>
          <w:sz w:val="24"/>
          <w:szCs w:val="24"/>
        </w:rPr>
        <w:t xml:space="preserve"> </w:t>
      </w:r>
      <w:r w:rsidRPr="003565ED">
        <w:rPr>
          <w:rFonts w:eastAsia="Calibri"/>
          <w:sz w:val="24"/>
          <w:szCs w:val="24"/>
        </w:rPr>
        <w:t>to</w:t>
      </w:r>
      <w:r w:rsidRPr="003565ED">
        <w:rPr>
          <w:rFonts w:eastAsia="Calibri"/>
          <w:spacing w:val="-1"/>
          <w:sz w:val="24"/>
          <w:szCs w:val="24"/>
        </w:rPr>
        <w:t xml:space="preserve"> </w:t>
      </w:r>
      <w:r w:rsidRPr="003565ED">
        <w:rPr>
          <w:rFonts w:eastAsia="Calibri"/>
          <w:sz w:val="24"/>
          <w:szCs w:val="24"/>
        </w:rPr>
        <w:t>require time-of-use pricing in</w:t>
      </w:r>
      <w:r w:rsidR="001F639A">
        <w:rPr>
          <w:rFonts w:eastAsia="Calibri"/>
          <w:sz w:val="24"/>
          <w:szCs w:val="24"/>
        </w:rPr>
        <w:t xml:space="preserve"> energy cost calculations.</w:t>
      </w:r>
    </w:p>
    <w:p w14:paraId="1377A401" w14:textId="5E10DA10" w:rsidR="003565ED" w:rsidRPr="003565ED" w:rsidRDefault="003565ED" w:rsidP="001F639A">
      <w:pPr>
        <w:kinsoku w:val="0"/>
        <w:overflowPunct w:val="0"/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14:paraId="6FDB88F6" w14:textId="77777777" w:rsidR="003565ED" w:rsidRPr="003565ED" w:rsidRDefault="003565ED" w:rsidP="003565ED">
      <w:pPr>
        <w:kinsoku w:val="0"/>
        <w:overflowPunct w:val="0"/>
        <w:autoSpaceDE w:val="0"/>
        <w:autoSpaceDN w:val="0"/>
        <w:adjustRightInd w:val="0"/>
        <w:spacing w:before="271" w:line="275" w:lineRule="exact"/>
        <w:ind w:left="199"/>
        <w:outlineLvl w:val="0"/>
        <w:rPr>
          <w:rFonts w:eastAsia="Calibri"/>
          <w:b/>
          <w:bCs/>
          <w:spacing w:val="-2"/>
          <w:sz w:val="24"/>
          <w:szCs w:val="24"/>
        </w:rPr>
      </w:pPr>
      <w:r w:rsidRPr="003565ED">
        <w:rPr>
          <w:rFonts w:eastAsia="Calibri"/>
          <w:b/>
          <w:bCs/>
          <w:spacing w:val="-2"/>
          <w:sz w:val="24"/>
          <w:szCs w:val="24"/>
        </w:rPr>
        <w:t>Exceptions:</w:t>
      </w:r>
    </w:p>
    <w:p w14:paraId="542233F6" w14:textId="77777777" w:rsidR="003565ED" w:rsidRPr="003565ED" w:rsidRDefault="003565ED" w:rsidP="003565ED">
      <w:pPr>
        <w:numPr>
          <w:ilvl w:val="1"/>
          <w:numId w:val="17"/>
        </w:numPr>
        <w:tabs>
          <w:tab w:val="left" w:pos="920"/>
        </w:tabs>
        <w:kinsoku w:val="0"/>
        <w:overflowPunct w:val="0"/>
        <w:autoSpaceDE w:val="0"/>
        <w:autoSpaceDN w:val="0"/>
        <w:adjustRightInd w:val="0"/>
        <w:spacing w:line="275" w:lineRule="exact"/>
        <w:ind w:left="920"/>
        <w:rPr>
          <w:rFonts w:eastAsia="Calibri"/>
          <w:sz w:val="24"/>
          <w:szCs w:val="24"/>
        </w:rPr>
      </w:pPr>
      <w:r w:rsidRPr="003565ED">
        <w:rPr>
          <w:rFonts w:eastAsia="Calibri"/>
          <w:sz w:val="24"/>
          <w:szCs w:val="24"/>
        </w:rPr>
        <w:t>The energy use based on source energy expressed in Btu or Btu per</w:t>
      </w:r>
    </w:p>
    <w:p w14:paraId="3F30421A" w14:textId="70FE2B90" w:rsidR="003565ED" w:rsidRPr="003565ED" w:rsidRDefault="003565ED" w:rsidP="003565ED">
      <w:pPr>
        <w:kinsoku w:val="0"/>
        <w:overflowPunct w:val="0"/>
        <w:autoSpaceDE w:val="0"/>
        <w:autoSpaceDN w:val="0"/>
        <w:adjustRightInd w:val="0"/>
        <w:spacing w:before="3"/>
        <w:ind w:left="920"/>
        <w:rPr>
          <w:rFonts w:eastAsia="Calibri"/>
          <w:sz w:val="24"/>
          <w:szCs w:val="24"/>
        </w:rPr>
      </w:pPr>
      <w:r w:rsidRPr="003565ED">
        <w:rPr>
          <w:rFonts w:eastAsia="Calibri"/>
          <w:sz w:val="24"/>
          <w:szCs w:val="24"/>
        </w:rPr>
        <w:t>square foot of conditioned floor area shall be permitted to be substituted for the energy cost.</w:t>
      </w:r>
      <w:r w:rsidRPr="003565ED">
        <w:rPr>
          <w:rFonts w:eastAsia="Calibri"/>
          <w:spacing w:val="-1"/>
          <w:sz w:val="24"/>
          <w:szCs w:val="24"/>
        </w:rPr>
        <w:t xml:space="preserve"> </w:t>
      </w:r>
      <w:r w:rsidRPr="003565ED">
        <w:rPr>
          <w:rFonts w:eastAsia="Calibri"/>
          <w:sz w:val="24"/>
          <w:szCs w:val="24"/>
        </w:rPr>
        <w:t>The source energy multiplier for electricity shall be</w:t>
      </w:r>
      <w:r w:rsidR="001F639A">
        <w:rPr>
          <w:rFonts w:eastAsia="Calibri"/>
          <w:sz w:val="24"/>
          <w:szCs w:val="24"/>
        </w:rPr>
        <w:t xml:space="preserve"> 2.51. The source energy</w:t>
      </w:r>
    </w:p>
    <w:p w14:paraId="3964C234" w14:textId="3C8C3BF7" w:rsidR="003565ED" w:rsidRPr="003565ED" w:rsidRDefault="003565ED" w:rsidP="003565ED">
      <w:pPr>
        <w:kinsoku w:val="0"/>
        <w:overflowPunct w:val="0"/>
        <w:autoSpaceDE w:val="0"/>
        <w:autoSpaceDN w:val="0"/>
        <w:adjustRightInd w:val="0"/>
        <w:ind w:left="920" w:right="372"/>
        <w:rPr>
          <w:rFonts w:eastAsia="Calibri"/>
          <w:sz w:val="24"/>
          <w:szCs w:val="24"/>
        </w:rPr>
      </w:pPr>
      <w:r w:rsidRPr="003565ED">
        <w:rPr>
          <w:rFonts w:eastAsia="Calibri"/>
          <w:sz w:val="24"/>
          <w:szCs w:val="24"/>
        </w:rPr>
        <w:t>multipliers shall be 1.09 for natural gas, 1.15 for propane, 1.19 for fuel oil, and 1.30 for imported liquified natural gas.</w:t>
      </w:r>
    </w:p>
    <w:p w14:paraId="697B07CD" w14:textId="77777777" w:rsidR="003565ED" w:rsidRPr="003565ED" w:rsidRDefault="003565ED" w:rsidP="003565ED">
      <w:pPr>
        <w:kinsoku w:val="0"/>
        <w:overflowPunct w:val="0"/>
        <w:autoSpaceDE w:val="0"/>
        <w:autoSpaceDN w:val="0"/>
        <w:adjustRightInd w:val="0"/>
        <w:spacing w:before="3"/>
        <w:rPr>
          <w:rFonts w:eastAsia="Calibri"/>
          <w:sz w:val="24"/>
          <w:szCs w:val="24"/>
        </w:rPr>
      </w:pPr>
    </w:p>
    <w:p w14:paraId="2FE7252E" w14:textId="77777777" w:rsidR="003565ED" w:rsidRPr="003565ED" w:rsidRDefault="003565ED" w:rsidP="003565ED">
      <w:pPr>
        <w:kinsoku w:val="0"/>
        <w:overflowPunct w:val="0"/>
        <w:autoSpaceDE w:val="0"/>
        <w:autoSpaceDN w:val="0"/>
        <w:adjustRightInd w:val="0"/>
        <w:spacing w:line="237" w:lineRule="auto"/>
        <w:ind w:left="920" w:hanging="360"/>
        <w:rPr>
          <w:rFonts w:eastAsia="Calibri"/>
          <w:sz w:val="24"/>
          <w:szCs w:val="24"/>
        </w:rPr>
      </w:pPr>
      <w:r w:rsidRPr="003565ED">
        <w:rPr>
          <w:rFonts w:eastAsia="Calibri"/>
          <w:sz w:val="24"/>
          <w:szCs w:val="24"/>
        </w:rPr>
        <w:t>2.</w:t>
      </w:r>
      <w:r w:rsidRPr="003565ED">
        <w:rPr>
          <w:rFonts w:eastAsia="Calibri"/>
          <w:spacing w:val="80"/>
          <w:w w:val="150"/>
          <w:sz w:val="24"/>
          <w:szCs w:val="24"/>
        </w:rPr>
        <w:t xml:space="preserve"> </w:t>
      </w:r>
      <w:r w:rsidRPr="003565ED">
        <w:rPr>
          <w:rFonts w:eastAsia="Calibri"/>
          <w:sz w:val="24"/>
          <w:szCs w:val="24"/>
        </w:rPr>
        <w:t>The energy use based on site energy expressed in Btu or Btu per square foot of conditioned floor area shall be permitted to</w:t>
      </w:r>
      <w:r w:rsidRPr="003565ED">
        <w:rPr>
          <w:rFonts w:eastAsia="Calibri"/>
          <w:spacing w:val="-5"/>
          <w:sz w:val="24"/>
          <w:szCs w:val="24"/>
        </w:rPr>
        <w:t xml:space="preserve"> </w:t>
      </w:r>
      <w:r w:rsidRPr="003565ED">
        <w:rPr>
          <w:rFonts w:eastAsia="Calibri"/>
          <w:sz w:val="24"/>
          <w:szCs w:val="24"/>
        </w:rPr>
        <w:t>be substituted for the</w:t>
      </w:r>
    </w:p>
    <w:p w14:paraId="518A2A28" w14:textId="77777777" w:rsidR="003565ED" w:rsidRPr="003565ED" w:rsidRDefault="003565ED" w:rsidP="003565ED">
      <w:pPr>
        <w:kinsoku w:val="0"/>
        <w:overflowPunct w:val="0"/>
        <w:autoSpaceDE w:val="0"/>
        <w:autoSpaceDN w:val="0"/>
        <w:adjustRightInd w:val="0"/>
        <w:spacing w:before="3"/>
        <w:ind w:left="880"/>
        <w:rPr>
          <w:rFonts w:eastAsia="Calibri"/>
          <w:sz w:val="24"/>
          <w:szCs w:val="24"/>
        </w:rPr>
      </w:pPr>
      <w:r w:rsidRPr="003565ED">
        <w:rPr>
          <w:rFonts w:eastAsia="Calibri"/>
          <w:sz w:val="24"/>
          <w:szCs w:val="24"/>
          <w:u w:val="single"/>
        </w:rPr>
        <w:t xml:space="preserve"> energy cost.</w:t>
      </w:r>
    </w:p>
    <w:p w14:paraId="01234CB8" w14:textId="77777777" w:rsidR="003565ED" w:rsidRDefault="003565ED" w:rsidP="001A705B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1CB1A14A" w14:textId="77777777" w:rsidR="003565ED" w:rsidRPr="00334F9E" w:rsidRDefault="003565ED" w:rsidP="001A705B">
      <w:pPr>
        <w:autoSpaceDE w:val="0"/>
        <w:autoSpaceDN w:val="0"/>
        <w:adjustRightInd w:val="0"/>
        <w:rPr>
          <w:rFonts w:ascii="Arial" w:hAnsi="Arial" w:cs="Arial"/>
          <w:b/>
          <w:i/>
          <w:u w:val="single"/>
        </w:rPr>
      </w:pPr>
    </w:p>
    <w:p w14:paraId="6BBA2465" w14:textId="77777777" w:rsidR="001A705B" w:rsidRPr="00334F9E" w:rsidRDefault="001A705B" w:rsidP="001A705B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24307B5C" w14:textId="77777777" w:rsidR="002F24EA" w:rsidRPr="00334F9E" w:rsidRDefault="002F24EA" w:rsidP="002F24EA">
      <w:pPr>
        <w:jc w:val="both"/>
        <w:rPr>
          <w:rFonts w:ascii="Arial" w:hAnsi="Arial" w:cs="Arial"/>
          <w:b/>
          <w:i/>
        </w:rPr>
      </w:pPr>
      <w:bookmarkStart w:id="1" w:name="_Hlk190075687"/>
    </w:p>
    <w:bookmarkEnd w:id="1"/>
    <w:p w14:paraId="318B49A2" w14:textId="78D8F085" w:rsidR="004F3970" w:rsidRPr="00334F9E" w:rsidRDefault="004F3970" w:rsidP="00D631B9">
      <w:pPr>
        <w:rPr>
          <w:rFonts w:ascii="Arial" w:hAnsi="Arial" w:cs="Arial"/>
          <w:b/>
          <w:i/>
        </w:rPr>
      </w:pPr>
    </w:p>
    <w:p w14:paraId="47949293" w14:textId="77777777" w:rsidR="004F3970" w:rsidRPr="00334F9E" w:rsidRDefault="004F3970" w:rsidP="00D631B9">
      <w:pPr>
        <w:rPr>
          <w:rFonts w:ascii="Arial" w:hAnsi="Arial" w:cs="Arial"/>
          <w:b/>
          <w:i/>
        </w:rPr>
      </w:pPr>
    </w:p>
    <w:p w14:paraId="29C7EDFA" w14:textId="77777777" w:rsidR="004F3970" w:rsidRPr="00334F9E" w:rsidRDefault="004F3970" w:rsidP="00D631B9">
      <w:pPr>
        <w:rPr>
          <w:rFonts w:ascii="Arial" w:hAnsi="Arial" w:cs="Arial"/>
          <w:b/>
          <w:i/>
        </w:rPr>
      </w:pPr>
    </w:p>
    <w:p w14:paraId="24357E58" w14:textId="380FE4E6" w:rsidR="004F3970" w:rsidRPr="00334F9E" w:rsidRDefault="00AD6426" w:rsidP="00BE5D43">
      <w:pPr>
        <w:jc w:val="center"/>
        <w:rPr>
          <w:rFonts w:ascii="Arial" w:hAnsi="Arial" w:cs="Arial"/>
          <w:b/>
          <w:i/>
        </w:rPr>
      </w:pPr>
      <w:r w:rsidRPr="00334F9E">
        <w:rPr>
          <w:rFonts w:ascii="Arial" w:hAnsi="Arial" w:cs="Arial"/>
          <w:b/>
          <w:i/>
        </w:rPr>
        <w:t>END</w:t>
      </w:r>
    </w:p>
    <w:sectPr w:rsidR="004F3970" w:rsidRPr="00334F9E" w:rsidSect="00A34C62">
      <w:headerReference w:type="default" r:id="rId8"/>
      <w:footerReference w:type="default" r:id="rId9"/>
      <w:pgSz w:w="12240" w:h="15840" w:code="1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3E254" w14:textId="77777777" w:rsidR="00144D64" w:rsidRDefault="00144D64" w:rsidP="000245BB">
      <w:r>
        <w:separator/>
      </w:r>
    </w:p>
  </w:endnote>
  <w:endnote w:type="continuationSeparator" w:id="0">
    <w:p w14:paraId="18B29ADF" w14:textId="77777777" w:rsidR="00144D64" w:rsidRDefault="00144D64" w:rsidP="00024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40C63" w14:textId="4863A9A9" w:rsidR="00F9262A" w:rsidRPr="005C06E4" w:rsidRDefault="000056E5">
    <w:pPr>
      <w:pStyle w:val="Footer"/>
      <w:jc w:val="center"/>
      <w:rPr>
        <w:rFonts w:ascii="Arial" w:hAnsi="Arial" w:cs="Arial"/>
      </w:rPr>
    </w:pPr>
    <w:r w:rsidRPr="005C06E4">
      <w:rPr>
        <w:rFonts w:ascii="Arial" w:hAnsi="Arial" w:cs="Arial"/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0FB6711D" wp14:editId="240E01B1">
              <wp:simplePos x="0" y="0"/>
              <wp:positionH relativeFrom="column">
                <wp:posOffset>3263265</wp:posOffset>
              </wp:positionH>
              <wp:positionV relativeFrom="paragraph">
                <wp:posOffset>-50165</wp:posOffset>
              </wp:positionV>
              <wp:extent cx="2804160" cy="429895"/>
              <wp:effectExtent l="0" t="0" r="0" b="1270"/>
              <wp:wrapSquare wrapText="bothSides"/>
              <wp:docPr id="120995443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4160" cy="4298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3BD106" w14:textId="68EA5675" w:rsidR="00F9262A" w:rsidRPr="00A210D8" w:rsidRDefault="00CF50A0" w:rsidP="00F9262A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2024 IECC Special Amendment</w:t>
                          </w:r>
                          <w:r w:rsidR="00D105DF">
                            <w:rPr>
                              <w:rFonts w:ascii="Arial" w:hAnsi="Arial" w:cs="Arial"/>
                            </w:rPr>
                            <w:t xml:space="preserve"> May</w:t>
                          </w:r>
                          <w:r w:rsidR="006B42E9">
                            <w:rPr>
                              <w:rFonts w:ascii="Arial" w:hAnsi="Arial" w:cs="Arial"/>
                            </w:rPr>
                            <w:t xml:space="preserve"> 202</w:t>
                          </w:r>
                          <w:r w:rsidR="00D105DF">
                            <w:rPr>
                              <w:rFonts w:ascii="Arial" w:hAnsi="Arial" w:cs="Arial"/>
                            </w:rPr>
                            <w:t>6</w:t>
                          </w:r>
                        </w:p>
                        <w:p w14:paraId="5BCEB2C9" w14:textId="55CABE21" w:rsidR="00F9262A" w:rsidRPr="00A210D8" w:rsidRDefault="00F9262A" w:rsidP="00F9262A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A210D8">
                            <w:rPr>
                              <w:rFonts w:ascii="Arial" w:hAnsi="Arial" w:cs="Arial"/>
                            </w:rPr>
                            <w:t>20</w:t>
                          </w:r>
                          <w:r w:rsidR="00D631B9">
                            <w:rPr>
                              <w:rFonts w:ascii="Arial" w:hAnsi="Arial" w:cs="Arial"/>
                            </w:rPr>
                            <w:t>2</w:t>
                          </w:r>
                          <w:r w:rsidR="003D0083">
                            <w:rPr>
                              <w:rFonts w:ascii="Arial" w:hAnsi="Arial" w:cs="Arial"/>
                            </w:rPr>
                            <w:t>4</w:t>
                          </w:r>
                          <w:r w:rsidRPr="00A210D8">
                            <w:rPr>
                              <w:rFonts w:ascii="Arial" w:hAnsi="Arial" w:cs="Arial"/>
                            </w:rPr>
                            <w:t xml:space="preserve"> International Energy Conservation Code</w:t>
                          </w:r>
                        </w:p>
                        <w:p w14:paraId="23ADC088" w14:textId="77777777" w:rsidR="00F9262A" w:rsidRDefault="00F926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B6711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6.95pt;margin-top:-3.95pt;width:220.8pt;height:33.8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" stroked="f">
              <v:textbox>
                <w:txbxContent>
                  <w:p w14:paraId="523BD106" w14:textId="68EA5675" w:rsidR="00F9262A" w:rsidRPr="00A210D8" w:rsidRDefault="00CF50A0" w:rsidP="00F9262A">
                    <w:pPr>
                      <w:jc w:val="right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2024 IECC Special Amendment</w:t>
                    </w:r>
                    <w:r w:rsidR="00D105DF">
                      <w:rPr>
                        <w:rFonts w:ascii="Arial" w:hAnsi="Arial" w:cs="Arial"/>
                      </w:rPr>
                      <w:t xml:space="preserve"> May</w:t>
                    </w:r>
                    <w:r w:rsidR="006B42E9">
                      <w:rPr>
                        <w:rFonts w:ascii="Arial" w:hAnsi="Arial" w:cs="Arial"/>
                      </w:rPr>
                      <w:t xml:space="preserve"> 202</w:t>
                    </w:r>
                    <w:r w:rsidR="00D105DF">
                      <w:rPr>
                        <w:rFonts w:ascii="Arial" w:hAnsi="Arial" w:cs="Arial"/>
                      </w:rPr>
                      <w:t>6</w:t>
                    </w:r>
                  </w:p>
                  <w:p w14:paraId="5BCEB2C9" w14:textId="55CABE21" w:rsidR="00F9262A" w:rsidRPr="00A210D8" w:rsidRDefault="00F9262A" w:rsidP="00F9262A">
                    <w:pPr>
                      <w:jc w:val="right"/>
                      <w:rPr>
                        <w:rFonts w:ascii="Arial" w:hAnsi="Arial" w:cs="Arial"/>
                      </w:rPr>
                    </w:pPr>
                    <w:r w:rsidRPr="00A210D8">
                      <w:rPr>
                        <w:rFonts w:ascii="Arial" w:hAnsi="Arial" w:cs="Arial"/>
                      </w:rPr>
                      <w:t>20</w:t>
                    </w:r>
                    <w:r w:rsidR="00D631B9">
                      <w:rPr>
                        <w:rFonts w:ascii="Arial" w:hAnsi="Arial" w:cs="Arial"/>
                      </w:rPr>
                      <w:t>2</w:t>
                    </w:r>
                    <w:r w:rsidR="003D0083">
                      <w:rPr>
                        <w:rFonts w:ascii="Arial" w:hAnsi="Arial" w:cs="Arial"/>
                      </w:rPr>
                      <w:t>4</w:t>
                    </w:r>
                    <w:r w:rsidRPr="00A210D8">
                      <w:rPr>
                        <w:rFonts w:ascii="Arial" w:hAnsi="Arial" w:cs="Arial"/>
                      </w:rPr>
                      <w:t xml:space="preserve"> International Energy Conservation Code</w:t>
                    </w:r>
                  </w:p>
                  <w:p w14:paraId="23ADC088" w14:textId="77777777" w:rsidR="00F9262A" w:rsidRDefault="00F9262A"/>
                </w:txbxContent>
              </v:textbox>
              <w10:wrap type="square"/>
            </v:shape>
          </w:pict>
        </mc:Fallback>
      </mc:AlternateContent>
    </w:r>
    <w:r w:rsidRPr="005C06E4">
      <w:rPr>
        <w:rFonts w:ascii="Arial" w:hAnsi="Arial" w:cs="Arial"/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51E309D" wp14:editId="46B872EF">
              <wp:simplePos x="0" y="0"/>
              <wp:positionH relativeFrom="column">
                <wp:posOffset>-161925</wp:posOffset>
              </wp:positionH>
              <wp:positionV relativeFrom="paragraph">
                <wp:posOffset>-60325</wp:posOffset>
              </wp:positionV>
              <wp:extent cx="2376170" cy="429895"/>
              <wp:effectExtent l="0" t="0" r="1270" b="1905"/>
              <wp:wrapSquare wrapText="bothSides"/>
              <wp:docPr id="106119608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6170" cy="4298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75A44F" w14:textId="77777777" w:rsidR="00F9262A" w:rsidRPr="00A210D8" w:rsidRDefault="00F9262A" w:rsidP="00F9262A">
                          <w:pPr>
                            <w:rPr>
                              <w:rFonts w:ascii="Arial" w:hAnsi="Arial" w:cs="Arial"/>
                            </w:rPr>
                          </w:pPr>
                          <w:r w:rsidRPr="00A210D8">
                            <w:rPr>
                              <w:rFonts w:ascii="Arial" w:hAnsi="Arial" w:cs="Arial"/>
                            </w:rPr>
                            <w:t>North Centr</w:t>
                          </w:r>
                          <w:r>
                            <w:rPr>
                              <w:rFonts w:ascii="Arial" w:hAnsi="Arial" w:cs="Arial"/>
                            </w:rPr>
                            <w:t>al Texas Council of Governments Amendments</w:t>
                          </w:r>
                          <w:r w:rsidRPr="00A210D8"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  <w:p w14:paraId="552D5A31" w14:textId="77777777" w:rsidR="00F9262A" w:rsidRDefault="00F926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1E309D" id="_x0000_s1027" type="#_x0000_t202" style="position:absolute;left:0;text-align:left;margin-left:-12.75pt;margin-top:-4.75pt;width:187.1pt;height:33.85pt;z-index:2516567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" stroked="f">
              <v:textbox>
                <w:txbxContent>
                  <w:p w14:paraId="6D75A44F" w14:textId="77777777" w:rsidR="00F9262A" w:rsidRPr="00A210D8" w:rsidRDefault="00F9262A" w:rsidP="00F9262A">
                    <w:pPr>
                      <w:rPr>
                        <w:rFonts w:ascii="Arial" w:hAnsi="Arial" w:cs="Arial"/>
                      </w:rPr>
                    </w:pPr>
                    <w:r w:rsidRPr="00A210D8">
                      <w:rPr>
                        <w:rFonts w:ascii="Arial" w:hAnsi="Arial" w:cs="Arial"/>
                      </w:rPr>
                      <w:t>North Centr</w:t>
                    </w:r>
                    <w:r>
                      <w:rPr>
                        <w:rFonts w:ascii="Arial" w:hAnsi="Arial" w:cs="Arial"/>
                      </w:rPr>
                      <w:t>al Texas Council of Governments Amendments</w:t>
                    </w:r>
                    <w:r w:rsidRPr="00A210D8">
                      <w:rPr>
                        <w:rFonts w:ascii="Arial" w:hAnsi="Arial" w:cs="Arial"/>
                      </w:rPr>
                      <w:tab/>
                    </w:r>
                  </w:p>
                  <w:p w14:paraId="552D5A31" w14:textId="77777777" w:rsidR="00F9262A" w:rsidRDefault="00F9262A"/>
                </w:txbxContent>
              </v:textbox>
              <w10:wrap type="square"/>
            </v:shape>
          </w:pict>
        </mc:Fallback>
      </mc:AlternateContent>
    </w:r>
    <w:r w:rsidR="00F9262A" w:rsidRPr="005C06E4">
      <w:rPr>
        <w:rFonts w:ascii="Arial" w:hAnsi="Arial" w:cs="Arial"/>
      </w:rPr>
      <w:fldChar w:fldCharType="begin"/>
    </w:r>
    <w:r w:rsidR="00F9262A" w:rsidRPr="005C06E4">
      <w:rPr>
        <w:rFonts w:ascii="Arial" w:hAnsi="Arial" w:cs="Arial"/>
      </w:rPr>
      <w:instrText xml:space="preserve"> PAGE   \* MERGEFORMAT </w:instrText>
    </w:r>
    <w:r w:rsidR="00F9262A" w:rsidRPr="005C06E4">
      <w:rPr>
        <w:rFonts w:ascii="Arial" w:hAnsi="Arial" w:cs="Arial"/>
      </w:rPr>
      <w:fldChar w:fldCharType="separate"/>
    </w:r>
    <w:r w:rsidR="00937329">
      <w:rPr>
        <w:rFonts w:ascii="Arial" w:hAnsi="Arial" w:cs="Arial"/>
        <w:noProof/>
      </w:rPr>
      <w:t>9</w:t>
    </w:r>
    <w:r w:rsidR="00F9262A" w:rsidRPr="005C06E4">
      <w:rPr>
        <w:rFonts w:ascii="Arial" w:hAnsi="Arial" w:cs="Arial"/>
        <w:noProof/>
      </w:rPr>
      <w:fldChar w:fldCharType="end"/>
    </w:r>
  </w:p>
  <w:p w14:paraId="5CBBFDF1" w14:textId="77777777" w:rsidR="00F9262A" w:rsidRPr="00F9262A" w:rsidRDefault="00F9262A" w:rsidP="00F9262A">
    <w:pPr>
      <w:pStyle w:val="Footer"/>
      <w:tabs>
        <w:tab w:val="right" w:pos="936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1B094" w14:textId="77777777" w:rsidR="00144D64" w:rsidRDefault="00144D64" w:rsidP="000245BB">
      <w:r>
        <w:separator/>
      </w:r>
    </w:p>
  </w:footnote>
  <w:footnote w:type="continuationSeparator" w:id="0">
    <w:p w14:paraId="3DF34BA3" w14:textId="77777777" w:rsidR="00144D64" w:rsidRDefault="00144D64" w:rsidP="00024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3750F" w14:textId="39995D00" w:rsidR="00DC04BC" w:rsidRDefault="001F639A" w:rsidP="00C256D3">
    <w:pPr>
      <w:pStyle w:val="Header"/>
      <w:jc w:val="center"/>
    </w:pPr>
    <w:sdt>
      <w:sdtPr>
        <w:id w:val="1167436119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178FD4F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0056E5">
      <w:rPr>
        <w:noProof/>
      </w:rPr>
      <w:drawing>
        <wp:inline distT="0" distB="0" distL="0" distR="0" wp14:anchorId="51DA2898" wp14:editId="7C6EA414">
          <wp:extent cx="1323975" cy="9810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339" w:hanging="24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89"/>
        <w:sz w:val="24"/>
        <w:szCs w:val="24"/>
      </w:rPr>
    </w:lvl>
    <w:lvl w:ilvl="1">
      <w:start w:val="1"/>
      <w:numFmt w:val="decimal"/>
      <w:lvlText w:val="%2."/>
      <w:lvlJc w:val="left"/>
      <w:pPr>
        <w:ind w:left="18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617" w:hanging="360"/>
      </w:pPr>
    </w:lvl>
    <w:lvl w:ilvl="3">
      <w:numFmt w:val="bullet"/>
      <w:lvlText w:val="•"/>
      <w:lvlJc w:val="left"/>
      <w:pPr>
        <w:ind w:left="3415" w:hanging="360"/>
      </w:pPr>
    </w:lvl>
    <w:lvl w:ilvl="4">
      <w:numFmt w:val="bullet"/>
      <w:lvlText w:val="•"/>
      <w:lvlJc w:val="left"/>
      <w:pPr>
        <w:ind w:left="4213" w:hanging="360"/>
      </w:pPr>
    </w:lvl>
    <w:lvl w:ilvl="5">
      <w:numFmt w:val="bullet"/>
      <w:lvlText w:val="•"/>
      <w:lvlJc w:val="left"/>
      <w:pPr>
        <w:ind w:left="5011" w:hanging="360"/>
      </w:pPr>
    </w:lvl>
    <w:lvl w:ilvl="6">
      <w:numFmt w:val="bullet"/>
      <w:lvlText w:val="•"/>
      <w:lvlJc w:val="left"/>
      <w:pPr>
        <w:ind w:left="5808" w:hanging="360"/>
      </w:pPr>
    </w:lvl>
    <w:lvl w:ilvl="7">
      <w:numFmt w:val="bullet"/>
      <w:lvlText w:val="•"/>
      <w:lvlJc w:val="left"/>
      <w:pPr>
        <w:ind w:left="6606" w:hanging="360"/>
      </w:pPr>
    </w:lvl>
    <w:lvl w:ilvl="8">
      <w:numFmt w:val="bullet"/>
      <w:lvlText w:val="•"/>
      <w:lvlJc w:val="left"/>
      <w:pPr>
        <w:ind w:left="7404" w:hanging="360"/>
      </w:pPr>
    </w:lvl>
  </w:abstractNum>
  <w:abstractNum w:abstractNumId="1" w15:restartNumberingAfterBreak="0">
    <w:nsid w:val="09971F64"/>
    <w:multiLevelType w:val="hybridMultilevel"/>
    <w:tmpl w:val="DB062E6E"/>
    <w:lvl w:ilvl="0" w:tplc="AEA44F8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36352"/>
    <w:multiLevelType w:val="hybridMultilevel"/>
    <w:tmpl w:val="BAC47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0C8AD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B2ABD"/>
    <w:multiLevelType w:val="multilevel"/>
    <w:tmpl w:val="7BBA27DE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Arial" w:eastAsia="Arial" w:hAnsi="Arial"/>
        <w:color w:val="auto"/>
        <w:spacing w:val="0"/>
        <w:w w:val="100"/>
        <w:sz w:val="20"/>
        <w:szCs w:val="1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70321E"/>
    <w:multiLevelType w:val="hybridMultilevel"/>
    <w:tmpl w:val="8D16E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B4849"/>
    <w:multiLevelType w:val="hybridMultilevel"/>
    <w:tmpl w:val="08226846"/>
    <w:lvl w:ilvl="0" w:tplc="AEA44F8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13F65"/>
    <w:multiLevelType w:val="hybridMultilevel"/>
    <w:tmpl w:val="651AF66E"/>
    <w:lvl w:ilvl="0" w:tplc="6636A48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856C7"/>
    <w:multiLevelType w:val="hybridMultilevel"/>
    <w:tmpl w:val="4CFA7CCE"/>
    <w:lvl w:ilvl="0" w:tplc="FBE2B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94C1D"/>
    <w:multiLevelType w:val="hybridMultilevel"/>
    <w:tmpl w:val="52CA7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05B19"/>
    <w:multiLevelType w:val="hybridMultilevel"/>
    <w:tmpl w:val="82EC186E"/>
    <w:lvl w:ilvl="0" w:tplc="7578E2A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5B089B"/>
    <w:multiLevelType w:val="hybridMultilevel"/>
    <w:tmpl w:val="7C009ED8"/>
    <w:lvl w:ilvl="0" w:tplc="FC74BB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B3017"/>
    <w:multiLevelType w:val="hybridMultilevel"/>
    <w:tmpl w:val="E83248CA"/>
    <w:lvl w:ilvl="0" w:tplc="E6E2F3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545EA"/>
    <w:multiLevelType w:val="hybridMultilevel"/>
    <w:tmpl w:val="248A33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FB6B6B"/>
    <w:multiLevelType w:val="hybridMultilevel"/>
    <w:tmpl w:val="549EADF2"/>
    <w:lvl w:ilvl="0" w:tplc="2FC4FE3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1904B1"/>
    <w:multiLevelType w:val="hybridMultilevel"/>
    <w:tmpl w:val="C8AE41D8"/>
    <w:lvl w:ilvl="0" w:tplc="7CE4AECE">
      <w:start w:val="1"/>
      <w:numFmt w:val="decimal"/>
      <w:lvlText w:val="%1."/>
      <w:lvlJc w:val="left"/>
      <w:pPr>
        <w:ind w:left="1660" w:hanging="360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1" w:tplc="92AC38F6">
      <w:start w:val="1"/>
      <w:numFmt w:val="lowerLetter"/>
      <w:lvlText w:val="%2."/>
      <w:lvlJc w:val="left"/>
      <w:pPr>
        <w:ind w:left="2380" w:hanging="360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2" w:tplc="7FD8FF6C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665C6EDC">
      <w:numFmt w:val="bullet"/>
      <w:lvlText w:val="•"/>
      <w:lvlJc w:val="left"/>
      <w:pPr>
        <w:ind w:left="4166" w:hanging="360"/>
      </w:pPr>
      <w:rPr>
        <w:rFonts w:hint="default"/>
      </w:rPr>
    </w:lvl>
    <w:lvl w:ilvl="4" w:tplc="4620C97A">
      <w:numFmt w:val="bullet"/>
      <w:lvlText w:val="•"/>
      <w:lvlJc w:val="left"/>
      <w:pPr>
        <w:ind w:left="5060" w:hanging="360"/>
      </w:pPr>
      <w:rPr>
        <w:rFonts w:hint="default"/>
      </w:rPr>
    </w:lvl>
    <w:lvl w:ilvl="5" w:tplc="099E5748">
      <w:numFmt w:val="bullet"/>
      <w:lvlText w:val="•"/>
      <w:lvlJc w:val="left"/>
      <w:pPr>
        <w:ind w:left="5953" w:hanging="360"/>
      </w:pPr>
      <w:rPr>
        <w:rFonts w:hint="default"/>
      </w:rPr>
    </w:lvl>
    <w:lvl w:ilvl="6" w:tplc="E9088900">
      <w:numFmt w:val="bullet"/>
      <w:lvlText w:val="•"/>
      <w:lvlJc w:val="left"/>
      <w:pPr>
        <w:ind w:left="6846" w:hanging="360"/>
      </w:pPr>
      <w:rPr>
        <w:rFonts w:hint="default"/>
      </w:rPr>
    </w:lvl>
    <w:lvl w:ilvl="7" w:tplc="5636D612">
      <w:numFmt w:val="bullet"/>
      <w:lvlText w:val="•"/>
      <w:lvlJc w:val="left"/>
      <w:pPr>
        <w:ind w:left="7740" w:hanging="360"/>
      </w:pPr>
      <w:rPr>
        <w:rFonts w:hint="default"/>
      </w:rPr>
    </w:lvl>
    <w:lvl w:ilvl="8" w:tplc="23E8CDF4">
      <w:numFmt w:val="bullet"/>
      <w:lvlText w:val="•"/>
      <w:lvlJc w:val="left"/>
      <w:pPr>
        <w:ind w:left="8633" w:hanging="360"/>
      </w:pPr>
      <w:rPr>
        <w:rFonts w:hint="default"/>
      </w:rPr>
    </w:lvl>
  </w:abstractNum>
  <w:abstractNum w:abstractNumId="15" w15:restartNumberingAfterBreak="0">
    <w:nsid w:val="620D6493"/>
    <w:multiLevelType w:val="hybridMultilevel"/>
    <w:tmpl w:val="80C0B606"/>
    <w:lvl w:ilvl="0" w:tplc="B942884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6" w15:restartNumberingAfterBreak="0">
    <w:nsid w:val="670738D9"/>
    <w:multiLevelType w:val="hybridMultilevel"/>
    <w:tmpl w:val="E176EFAE"/>
    <w:lvl w:ilvl="0" w:tplc="8ED898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82533746">
    <w:abstractNumId w:val="15"/>
  </w:num>
  <w:num w:numId="2" w16cid:durableId="450710028">
    <w:abstractNumId w:val="5"/>
  </w:num>
  <w:num w:numId="3" w16cid:durableId="2006860317">
    <w:abstractNumId w:val="4"/>
  </w:num>
  <w:num w:numId="4" w16cid:durableId="331303887">
    <w:abstractNumId w:val="14"/>
  </w:num>
  <w:num w:numId="5" w16cid:durableId="67265521">
    <w:abstractNumId w:val="6"/>
  </w:num>
  <w:num w:numId="6" w16cid:durableId="1364666929">
    <w:abstractNumId w:val="13"/>
  </w:num>
  <w:num w:numId="7" w16cid:durableId="1586455581">
    <w:abstractNumId w:val="1"/>
  </w:num>
  <w:num w:numId="8" w16cid:durableId="32468838">
    <w:abstractNumId w:val="11"/>
  </w:num>
  <w:num w:numId="9" w16cid:durableId="1688747897">
    <w:abstractNumId w:val="10"/>
  </w:num>
  <w:num w:numId="10" w16cid:durableId="877470513">
    <w:abstractNumId w:val="12"/>
  </w:num>
  <w:num w:numId="11" w16cid:durableId="1355224832">
    <w:abstractNumId w:val="16"/>
  </w:num>
  <w:num w:numId="12" w16cid:durableId="341592948">
    <w:abstractNumId w:val="3"/>
  </w:num>
  <w:num w:numId="13" w16cid:durableId="1679426512">
    <w:abstractNumId w:val="7"/>
  </w:num>
  <w:num w:numId="14" w16cid:durableId="635112883">
    <w:abstractNumId w:val="9"/>
  </w:num>
  <w:num w:numId="15" w16cid:durableId="734353824">
    <w:abstractNumId w:val="8"/>
  </w:num>
  <w:num w:numId="16" w16cid:durableId="572273046">
    <w:abstractNumId w:val="2"/>
  </w:num>
  <w:num w:numId="17" w16cid:durableId="2125727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9B8"/>
    <w:rsid w:val="00002C0A"/>
    <w:rsid w:val="00002F55"/>
    <w:rsid w:val="000056E5"/>
    <w:rsid w:val="000066E4"/>
    <w:rsid w:val="00007C6D"/>
    <w:rsid w:val="0002181B"/>
    <w:rsid w:val="00021B04"/>
    <w:rsid w:val="00023CE4"/>
    <w:rsid w:val="000245BB"/>
    <w:rsid w:val="000262CC"/>
    <w:rsid w:val="00033E91"/>
    <w:rsid w:val="00037F2C"/>
    <w:rsid w:val="000412D4"/>
    <w:rsid w:val="0004621F"/>
    <w:rsid w:val="0004747A"/>
    <w:rsid w:val="00047A40"/>
    <w:rsid w:val="00056EA0"/>
    <w:rsid w:val="000601F9"/>
    <w:rsid w:val="000700E9"/>
    <w:rsid w:val="00075E5A"/>
    <w:rsid w:val="000771D1"/>
    <w:rsid w:val="000829D2"/>
    <w:rsid w:val="00084A51"/>
    <w:rsid w:val="0009267B"/>
    <w:rsid w:val="000A05DF"/>
    <w:rsid w:val="000A1B60"/>
    <w:rsid w:val="000A7BBF"/>
    <w:rsid w:val="000B3E38"/>
    <w:rsid w:val="000B47CF"/>
    <w:rsid w:val="000C3CC8"/>
    <w:rsid w:val="000D356A"/>
    <w:rsid w:val="001020CF"/>
    <w:rsid w:val="00107955"/>
    <w:rsid w:val="00115E92"/>
    <w:rsid w:val="0011614D"/>
    <w:rsid w:val="0012046C"/>
    <w:rsid w:val="001261A0"/>
    <w:rsid w:val="00126C3F"/>
    <w:rsid w:val="00133DBC"/>
    <w:rsid w:val="001369AF"/>
    <w:rsid w:val="00136A84"/>
    <w:rsid w:val="001377BD"/>
    <w:rsid w:val="001406E2"/>
    <w:rsid w:val="00144D64"/>
    <w:rsid w:val="00145F36"/>
    <w:rsid w:val="00146817"/>
    <w:rsid w:val="00150CA1"/>
    <w:rsid w:val="00153652"/>
    <w:rsid w:val="00155A6F"/>
    <w:rsid w:val="00161D2A"/>
    <w:rsid w:val="001703F2"/>
    <w:rsid w:val="0017050F"/>
    <w:rsid w:val="001814BA"/>
    <w:rsid w:val="00182443"/>
    <w:rsid w:val="001853D5"/>
    <w:rsid w:val="001A705B"/>
    <w:rsid w:val="001B35F3"/>
    <w:rsid w:val="001B5CCA"/>
    <w:rsid w:val="001C60CF"/>
    <w:rsid w:val="001F546A"/>
    <w:rsid w:val="001F639A"/>
    <w:rsid w:val="0022205C"/>
    <w:rsid w:val="00222FD7"/>
    <w:rsid w:val="00233208"/>
    <w:rsid w:val="00233E03"/>
    <w:rsid w:val="00236032"/>
    <w:rsid w:val="00240E57"/>
    <w:rsid w:val="00245247"/>
    <w:rsid w:val="0025322A"/>
    <w:rsid w:val="00256E02"/>
    <w:rsid w:val="00257CA7"/>
    <w:rsid w:val="00257E68"/>
    <w:rsid w:val="0026133F"/>
    <w:rsid w:val="00263D54"/>
    <w:rsid w:val="00266F2F"/>
    <w:rsid w:val="0026760F"/>
    <w:rsid w:val="00271355"/>
    <w:rsid w:val="00282D64"/>
    <w:rsid w:val="0029787F"/>
    <w:rsid w:val="002A0873"/>
    <w:rsid w:val="002A2CD6"/>
    <w:rsid w:val="002A6B9F"/>
    <w:rsid w:val="002C0A43"/>
    <w:rsid w:val="002C11FB"/>
    <w:rsid w:val="002C4680"/>
    <w:rsid w:val="002C6881"/>
    <w:rsid w:val="002D3F53"/>
    <w:rsid w:val="002F24EA"/>
    <w:rsid w:val="002F6A11"/>
    <w:rsid w:val="002F7BFC"/>
    <w:rsid w:val="00314B94"/>
    <w:rsid w:val="00314F3A"/>
    <w:rsid w:val="003160DA"/>
    <w:rsid w:val="00327350"/>
    <w:rsid w:val="00327C71"/>
    <w:rsid w:val="00334F9E"/>
    <w:rsid w:val="00344218"/>
    <w:rsid w:val="00351112"/>
    <w:rsid w:val="003529CB"/>
    <w:rsid w:val="003565ED"/>
    <w:rsid w:val="00362560"/>
    <w:rsid w:val="00377572"/>
    <w:rsid w:val="0039736F"/>
    <w:rsid w:val="003A0B53"/>
    <w:rsid w:val="003B0611"/>
    <w:rsid w:val="003B2A7D"/>
    <w:rsid w:val="003B7225"/>
    <w:rsid w:val="003C3C10"/>
    <w:rsid w:val="003C485E"/>
    <w:rsid w:val="003C6B0C"/>
    <w:rsid w:val="003D0083"/>
    <w:rsid w:val="003E1376"/>
    <w:rsid w:val="003E6752"/>
    <w:rsid w:val="003F74A7"/>
    <w:rsid w:val="004013AC"/>
    <w:rsid w:val="004031F5"/>
    <w:rsid w:val="004032FB"/>
    <w:rsid w:val="00405C18"/>
    <w:rsid w:val="004127BA"/>
    <w:rsid w:val="00412829"/>
    <w:rsid w:val="0041286E"/>
    <w:rsid w:val="00414F22"/>
    <w:rsid w:val="00424351"/>
    <w:rsid w:val="00424420"/>
    <w:rsid w:val="004372CF"/>
    <w:rsid w:val="004409CA"/>
    <w:rsid w:val="0044331A"/>
    <w:rsid w:val="00447433"/>
    <w:rsid w:val="00452707"/>
    <w:rsid w:val="00455181"/>
    <w:rsid w:val="00456CA6"/>
    <w:rsid w:val="00464E7D"/>
    <w:rsid w:val="00467677"/>
    <w:rsid w:val="004753B2"/>
    <w:rsid w:val="004824E5"/>
    <w:rsid w:val="004859FF"/>
    <w:rsid w:val="00486FE4"/>
    <w:rsid w:val="00492685"/>
    <w:rsid w:val="004977DA"/>
    <w:rsid w:val="004A3BE7"/>
    <w:rsid w:val="004B0B41"/>
    <w:rsid w:val="004B2427"/>
    <w:rsid w:val="004B3B8D"/>
    <w:rsid w:val="004B5617"/>
    <w:rsid w:val="004B6868"/>
    <w:rsid w:val="004B6FEE"/>
    <w:rsid w:val="004C4E13"/>
    <w:rsid w:val="004C75B2"/>
    <w:rsid w:val="004D14E1"/>
    <w:rsid w:val="004D2EB6"/>
    <w:rsid w:val="004D7716"/>
    <w:rsid w:val="004E076B"/>
    <w:rsid w:val="004E18C5"/>
    <w:rsid w:val="004E3CFA"/>
    <w:rsid w:val="004E4E3A"/>
    <w:rsid w:val="004E5B47"/>
    <w:rsid w:val="004F3970"/>
    <w:rsid w:val="004F7CDC"/>
    <w:rsid w:val="005109C8"/>
    <w:rsid w:val="005139E7"/>
    <w:rsid w:val="005140B6"/>
    <w:rsid w:val="00517079"/>
    <w:rsid w:val="00521D7E"/>
    <w:rsid w:val="00523571"/>
    <w:rsid w:val="00525F08"/>
    <w:rsid w:val="00543CDB"/>
    <w:rsid w:val="00546979"/>
    <w:rsid w:val="00551FFB"/>
    <w:rsid w:val="005525D4"/>
    <w:rsid w:val="005538BA"/>
    <w:rsid w:val="005550ED"/>
    <w:rsid w:val="00557F9E"/>
    <w:rsid w:val="005614EF"/>
    <w:rsid w:val="00563EB7"/>
    <w:rsid w:val="00580930"/>
    <w:rsid w:val="00591A53"/>
    <w:rsid w:val="00592099"/>
    <w:rsid w:val="00593B05"/>
    <w:rsid w:val="005971FF"/>
    <w:rsid w:val="005A2A2A"/>
    <w:rsid w:val="005B5B79"/>
    <w:rsid w:val="005C06E4"/>
    <w:rsid w:val="005E0FAF"/>
    <w:rsid w:val="005E5BCC"/>
    <w:rsid w:val="005F6994"/>
    <w:rsid w:val="00610899"/>
    <w:rsid w:val="00612D6C"/>
    <w:rsid w:val="00620DA8"/>
    <w:rsid w:val="0062278A"/>
    <w:rsid w:val="0062767D"/>
    <w:rsid w:val="006308BC"/>
    <w:rsid w:val="00634B20"/>
    <w:rsid w:val="00636561"/>
    <w:rsid w:val="00646641"/>
    <w:rsid w:val="00651C14"/>
    <w:rsid w:val="00652FFB"/>
    <w:rsid w:val="00657DA3"/>
    <w:rsid w:val="0067545A"/>
    <w:rsid w:val="006800D1"/>
    <w:rsid w:val="0068232A"/>
    <w:rsid w:val="006915A7"/>
    <w:rsid w:val="00693E4C"/>
    <w:rsid w:val="006960A0"/>
    <w:rsid w:val="006A3AB8"/>
    <w:rsid w:val="006A73D1"/>
    <w:rsid w:val="006B21C8"/>
    <w:rsid w:val="006B42E9"/>
    <w:rsid w:val="006B5552"/>
    <w:rsid w:val="006B589D"/>
    <w:rsid w:val="006B5FEE"/>
    <w:rsid w:val="006B6846"/>
    <w:rsid w:val="006C4D0C"/>
    <w:rsid w:val="006C705D"/>
    <w:rsid w:val="006C76BE"/>
    <w:rsid w:val="006D10D7"/>
    <w:rsid w:val="006D3FD7"/>
    <w:rsid w:val="006D5021"/>
    <w:rsid w:val="006D59BA"/>
    <w:rsid w:val="006D7B54"/>
    <w:rsid w:val="006E4059"/>
    <w:rsid w:val="006E426A"/>
    <w:rsid w:val="006E5CB0"/>
    <w:rsid w:val="006F3B9A"/>
    <w:rsid w:val="006F4314"/>
    <w:rsid w:val="007001C7"/>
    <w:rsid w:val="00704CF7"/>
    <w:rsid w:val="00707249"/>
    <w:rsid w:val="00715AA2"/>
    <w:rsid w:val="00721F2F"/>
    <w:rsid w:val="007237E3"/>
    <w:rsid w:val="00727C58"/>
    <w:rsid w:val="00744E87"/>
    <w:rsid w:val="00747880"/>
    <w:rsid w:val="00750DFE"/>
    <w:rsid w:val="00754DAF"/>
    <w:rsid w:val="00763E31"/>
    <w:rsid w:val="00763FEB"/>
    <w:rsid w:val="00765840"/>
    <w:rsid w:val="007719F7"/>
    <w:rsid w:val="00773AF4"/>
    <w:rsid w:val="00774F54"/>
    <w:rsid w:val="007A638C"/>
    <w:rsid w:val="007B062D"/>
    <w:rsid w:val="007C6B8B"/>
    <w:rsid w:val="007D24F7"/>
    <w:rsid w:val="007D2C05"/>
    <w:rsid w:val="007D5801"/>
    <w:rsid w:val="007D6F98"/>
    <w:rsid w:val="007E6FF0"/>
    <w:rsid w:val="007F685B"/>
    <w:rsid w:val="007F6862"/>
    <w:rsid w:val="008153DC"/>
    <w:rsid w:val="00817B3A"/>
    <w:rsid w:val="008374FD"/>
    <w:rsid w:val="008457AF"/>
    <w:rsid w:val="008550E9"/>
    <w:rsid w:val="0085696A"/>
    <w:rsid w:val="00874780"/>
    <w:rsid w:val="00880B7A"/>
    <w:rsid w:val="00883087"/>
    <w:rsid w:val="00894A61"/>
    <w:rsid w:val="008A20E0"/>
    <w:rsid w:val="008A2F93"/>
    <w:rsid w:val="008A4242"/>
    <w:rsid w:val="008A5845"/>
    <w:rsid w:val="008A695A"/>
    <w:rsid w:val="008B00FE"/>
    <w:rsid w:val="008B7C41"/>
    <w:rsid w:val="008C37A9"/>
    <w:rsid w:val="008D7823"/>
    <w:rsid w:val="008E1B29"/>
    <w:rsid w:val="008E23DE"/>
    <w:rsid w:val="008E7DCA"/>
    <w:rsid w:val="008F0652"/>
    <w:rsid w:val="008F1081"/>
    <w:rsid w:val="008F469D"/>
    <w:rsid w:val="008F6544"/>
    <w:rsid w:val="00900DF8"/>
    <w:rsid w:val="00900FC1"/>
    <w:rsid w:val="00915C55"/>
    <w:rsid w:val="00921F9B"/>
    <w:rsid w:val="00937329"/>
    <w:rsid w:val="009374DE"/>
    <w:rsid w:val="009500A5"/>
    <w:rsid w:val="00954FD5"/>
    <w:rsid w:val="00963804"/>
    <w:rsid w:val="009639B8"/>
    <w:rsid w:val="009713EF"/>
    <w:rsid w:val="00972C79"/>
    <w:rsid w:val="00985E0B"/>
    <w:rsid w:val="009923AD"/>
    <w:rsid w:val="0099602E"/>
    <w:rsid w:val="009A24AA"/>
    <w:rsid w:val="009A2AD3"/>
    <w:rsid w:val="009A5414"/>
    <w:rsid w:val="009A6340"/>
    <w:rsid w:val="009B1EBB"/>
    <w:rsid w:val="009C0053"/>
    <w:rsid w:val="009C2499"/>
    <w:rsid w:val="009C2766"/>
    <w:rsid w:val="009D1227"/>
    <w:rsid w:val="009D1C57"/>
    <w:rsid w:val="009D4D8A"/>
    <w:rsid w:val="009E0782"/>
    <w:rsid w:val="009E2AE6"/>
    <w:rsid w:val="009E3DF3"/>
    <w:rsid w:val="009E3FC9"/>
    <w:rsid w:val="009E4037"/>
    <w:rsid w:val="009E6831"/>
    <w:rsid w:val="009F0BF8"/>
    <w:rsid w:val="00A00C3A"/>
    <w:rsid w:val="00A03CDE"/>
    <w:rsid w:val="00A164DD"/>
    <w:rsid w:val="00A20262"/>
    <w:rsid w:val="00A210D8"/>
    <w:rsid w:val="00A235A8"/>
    <w:rsid w:val="00A27971"/>
    <w:rsid w:val="00A34B1D"/>
    <w:rsid w:val="00A34C1C"/>
    <w:rsid w:val="00A34C62"/>
    <w:rsid w:val="00A40EEF"/>
    <w:rsid w:val="00A52533"/>
    <w:rsid w:val="00A54B1C"/>
    <w:rsid w:val="00A5594C"/>
    <w:rsid w:val="00A569F4"/>
    <w:rsid w:val="00A6461F"/>
    <w:rsid w:val="00A722FC"/>
    <w:rsid w:val="00A83E51"/>
    <w:rsid w:val="00AA0B64"/>
    <w:rsid w:val="00AB2A4A"/>
    <w:rsid w:val="00AB485F"/>
    <w:rsid w:val="00AC2526"/>
    <w:rsid w:val="00AC3B84"/>
    <w:rsid w:val="00AD275E"/>
    <w:rsid w:val="00AD5482"/>
    <w:rsid w:val="00AD5B4B"/>
    <w:rsid w:val="00AD6426"/>
    <w:rsid w:val="00AE0609"/>
    <w:rsid w:val="00AE32EA"/>
    <w:rsid w:val="00AF6112"/>
    <w:rsid w:val="00B203E0"/>
    <w:rsid w:val="00B213FD"/>
    <w:rsid w:val="00B22F03"/>
    <w:rsid w:val="00B23A4D"/>
    <w:rsid w:val="00B27B61"/>
    <w:rsid w:val="00B326B9"/>
    <w:rsid w:val="00B34A38"/>
    <w:rsid w:val="00B365EF"/>
    <w:rsid w:val="00B556C0"/>
    <w:rsid w:val="00B56BE2"/>
    <w:rsid w:val="00B60A9B"/>
    <w:rsid w:val="00B62FE8"/>
    <w:rsid w:val="00B630C8"/>
    <w:rsid w:val="00B7547B"/>
    <w:rsid w:val="00B76BF6"/>
    <w:rsid w:val="00B8251E"/>
    <w:rsid w:val="00B87E25"/>
    <w:rsid w:val="00B95DFE"/>
    <w:rsid w:val="00BA3778"/>
    <w:rsid w:val="00BA48C6"/>
    <w:rsid w:val="00BA56CC"/>
    <w:rsid w:val="00BB180C"/>
    <w:rsid w:val="00BB351D"/>
    <w:rsid w:val="00BB4832"/>
    <w:rsid w:val="00BB6663"/>
    <w:rsid w:val="00BC2511"/>
    <w:rsid w:val="00BC512F"/>
    <w:rsid w:val="00BC5F61"/>
    <w:rsid w:val="00BE2F4E"/>
    <w:rsid w:val="00BE5D43"/>
    <w:rsid w:val="00BF1786"/>
    <w:rsid w:val="00BF1903"/>
    <w:rsid w:val="00BF75AA"/>
    <w:rsid w:val="00C000E1"/>
    <w:rsid w:val="00C037F9"/>
    <w:rsid w:val="00C05FF4"/>
    <w:rsid w:val="00C256D3"/>
    <w:rsid w:val="00C3570C"/>
    <w:rsid w:val="00C35D49"/>
    <w:rsid w:val="00C36E4A"/>
    <w:rsid w:val="00C4146B"/>
    <w:rsid w:val="00C47501"/>
    <w:rsid w:val="00C566B6"/>
    <w:rsid w:val="00C6480D"/>
    <w:rsid w:val="00C77AF4"/>
    <w:rsid w:val="00C86105"/>
    <w:rsid w:val="00CA7F1C"/>
    <w:rsid w:val="00CB459F"/>
    <w:rsid w:val="00CB5B20"/>
    <w:rsid w:val="00CD1095"/>
    <w:rsid w:val="00CD4FC2"/>
    <w:rsid w:val="00CE5F92"/>
    <w:rsid w:val="00CF4681"/>
    <w:rsid w:val="00CF50A0"/>
    <w:rsid w:val="00CF57E0"/>
    <w:rsid w:val="00D01869"/>
    <w:rsid w:val="00D03775"/>
    <w:rsid w:val="00D105DF"/>
    <w:rsid w:val="00D107F7"/>
    <w:rsid w:val="00D15F8E"/>
    <w:rsid w:val="00D3129E"/>
    <w:rsid w:val="00D34952"/>
    <w:rsid w:val="00D40014"/>
    <w:rsid w:val="00D45564"/>
    <w:rsid w:val="00D4666B"/>
    <w:rsid w:val="00D54F79"/>
    <w:rsid w:val="00D6288F"/>
    <w:rsid w:val="00D631B9"/>
    <w:rsid w:val="00D6774E"/>
    <w:rsid w:val="00D76B78"/>
    <w:rsid w:val="00D80241"/>
    <w:rsid w:val="00D879E6"/>
    <w:rsid w:val="00DA079B"/>
    <w:rsid w:val="00DA11AC"/>
    <w:rsid w:val="00DB307D"/>
    <w:rsid w:val="00DB7978"/>
    <w:rsid w:val="00DC04BC"/>
    <w:rsid w:val="00DC316B"/>
    <w:rsid w:val="00DD2881"/>
    <w:rsid w:val="00DF1844"/>
    <w:rsid w:val="00DF406E"/>
    <w:rsid w:val="00DF60D6"/>
    <w:rsid w:val="00E00457"/>
    <w:rsid w:val="00E01958"/>
    <w:rsid w:val="00E03C00"/>
    <w:rsid w:val="00E12518"/>
    <w:rsid w:val="00E16B0A"/>
    <w:rsid w:val="00E16F98"/>
    <w:rsid w:val="00E23892"/>
    <w:rsid w:val="00E25601"/>
    <w:rsid w:val="00E27EB5"/>
    <w:rsid w:val="00E31463"/>
    <w:rsid w:val="00E338D4"/>
    <w:rsid w:val="00E3441D"/>
    <w:rsid w:val="00E377C9"/>
    <w:rsid w:val="00E379A4"/>
    <w:rsid w:val="00E406A0"/>
    <w:rsid w:val="00E41BDA"/>
    <w:rsid w:val="00E454DC"/>
    <w:rsid w:val="00E53EA1"/>
    <w:rsid w:val="00E57FC2"/>
    <w:rsid w:val="00E81F80"/>
    <w:rsid w:val="00E8397A"/>
    <w:rsid w:val="00E94336"/>
    <w:rsid w:val="00E9448E"/>
    <w:rsid w:val="00E9535A"/>
    <w:rsid w:val="00E9577B"/>
    <w:rsid w:val="00E97A12"/>
    <w:rsid w:val="00EA11EC"/>
    <w:rsid w:val="00EA209C"/>
    <w:rsid w:val="00EA5071"/>
    <w:rsid w:val="00EB0D73"/>
    <w:rsid w:val="00EB7801"/>
    <w:rsid w:val="00EC795A"/>
    <w:rsid w:val="00ED0D38"/>
    <w:rsid w:val="00ED2069"/>
    <w:rsid w:val="00ED6E0E"/>
    <w:rsid w:val="00ED763D"/>
    <w:rsid w:val="00EE32F0"/>
    <w:rsid w:val="00EF0DE1"/>
    <w:rsid w:val="00EF5131"/>
    <w:rsid w:val="00EF5A75"/>
    <w:rsid w:val="00EF7266"/>
    <w:rsid w:val="00F0378D"/>
    <w:rsid w:val="00F05501"/>
    <w:rsid w:val="00F10CC8"/>
    <w:rsid w:val="00F11F11"/>
    <w:rsid w:val="00F13969"/>
    <w:rsid w:val="00F17217"/>
    <w:rsid w:val="00F21072"/>
    <w:rsid w:val="00F21D66"/>
    <w:rsid w:val="00F21DD7"/>
    <w:rsid w:val="00F32F7E"/>
    <w:rsid w:val="00F352D9"/>
    <w:rsid w:val="00F35AD9"/>
    <w:rsid w:val="00F436C9"/>
    <w:rsid w:val="00F61DDA"/>
    <w:rsid w:val="00F62D50"/>
    <w:rsid w:val="00F6465B"/>
    <w:rsid w:val="00F72925"/>
    <w:rsid w:val="00F742D9"/>
    <w:rsid w:val="00F753C9"/>
    <w:rsid w:val="00F822C0"/>
    <w:rsid w:val="00F86073"/>
    <w:rsid w:val="00F87E9E"/>
    <w:rsid w:val="00F91263"/>
    <w:rsid w:val="00F9262A"/>
    <w:rsid w:val="00F9449D"/>
    <w:rsid w:val="00F96DFA"/>
    <w:rsid w:val="00FA7C67"/>
    <w:rsid w:val="00FB188E"/>
    <w:rsid w:val="00FB309B"/>
    <w:rsid w:val="00FB538F"/>
    <w:rsid w:val="00FB7BB4"/>
    <w:rsid w:val="00FC7E1F"/>
    <w:rsid w:val="00FE5382"/>
    <w:rsid w:val="00FF14BD"/>
    <w:rsid w:val="00FF357E"/>
    <w:rsid w:val="00FF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AFEB14"/>
  <w15:chartTrackingRefBased/>
  <w15:docId w15:val="{B8295B13-A1A3-4FAB-8D3F-F4F9DF162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266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13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39B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39B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639B8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rsid w:val="009639B8"/>
    <w:rPr>
      <w:rFonts w:cs="Times New Roman"/>
    </w:rPr>
  </w:style>
  <w:style w:type="paragraph" w:customStyle="1" w:styleId="Identifier">
    <w:name w:val="Identifier"/>
    <w:basedOn w:val="Heading2"/>
    <w:rsid w:val="009639B8"/>
    <w:pPr>
      <w:keepLines w:val="0"/>
      <w:spacing w:before="240" w:after="60"/>
    </w:pPr>
    <w:rPr>
      <w:rFonts w:ascii="Arial" w:hAnsi="Arial"/>
      <w:bCs w:val="0"/>
      <w:i/>
      <w:color w:val="auto"/>
      <w:sz w:val="20"/>
      <w:szCs w:val="20"/>
    </w:rPr>
  </w:style>
  <w:style w:type="character" w:customStyle="1" w:styleId="Heading2Char">
    <w:name w:val="Heading 2 Char"/>
    <w:link w:val="Heading2"/>
    <w:uiPriority w:val="9"/>
    <w:semiHidden/>
    <w:rsid w:val="009639B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245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245BB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3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23D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1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569F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A569F4"/>
    <w:pPr>
      <w:widowControl w:val="0"/>
      <w:autoSpaceDE w:val="0"/>
      <w:autoSpaceDN w:val="0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link w:val="BodyText"/>
    <w:uiPriority w:val="1"/>
    <w:rsid w:val="00A569F4"/>
    <w:rPr>
      <w:rFonts w:cs="Calibri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63804"/>
    <w:pPr>
      <w:widowControl w:val="0"/>
      <w:autoSpaceDE w:val="0"/>
      <w:autoSpaceDN w:val="0"/>
      <w:spacing w:line="292" w:lineRule="exact"/>
      <w:ind w:left="103"/>
      <w:jc w:val="center"/>
    </w:pPr>
    <w:rPr>
      <w:rFonts w:ascii="Calibri" w:eastAsia="Calibri" w:hAnsi="Calibri" w:cs="Calibri"/>
      <w:sz w:val="22"/>
      <w:szCs w:val="22"/>
    </w:rPr>
  </w:style>
  <w:style w:type="paragraph" w:customStyle="1" w:styleId="b0">
    <w:name w:val="b0"/>
    <w:basedOn w:val="Normal"/>
    <w:rsid w:val="009374DE"/>
    <w:pPr>
      <w:spacing w:before="100" w:beforeAutospacing="1" w:after="100" w:afterAutospacing="1"/>
    </w:pPr>
    <w:rPr>
      <w:sz w:val="24"/>
      <w:szCs w:val="24"/>
    </w:rPr>
  </w:style>
  <w:style w:type="character" w:customStyle="1" w:styleId="bold">
    <w:name w:val="bold"/>
    <w:rsid w:val="009374DE"/>
  </w:style>
  <w:style w:type="character" w:customStyle="1" w:styleId="apple-converted-space">
    <w:name w:val="apple-converted-space"/>
    <w:rsid w:val="009374DE"/>
  </w:style>
  <w:style w:type="paragraph" w:customStyle="1" w:styleId="incr1">
    <w:name w:val="incr1"/>
    <w:basedOn w:val="Normal"/>
    <w:rsid w:val="009374DE"/>
    <w:pPr>
      <w:spacing w:before="100" w:beforeAutospacing="1" w:after="100" w:afterAutospacing="1"/>
    </w:pPr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879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79E6"/>
  </w:style>
  <w:style w:type="character" w:customStyle="1" w:styleId="CommentTextChar">
    <w:name w:val="Comment Text Char"/>
    <w:link w:val="CommentText"/>
    <w:uiPriority w:val="99"/>
    <w:rsid w:val="00D879E6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9E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879E6"/>
    <w:rPr>
      <w:rFonts w:ascii="Times New Roman" w:eastAsia="Times New Roman" w:hAnsi="Times New Roman"/>
      <w:b/>
      <w:bCs/>
    </w:rPr>
  </w:style>
  <w:style w:type="character" w:styleId="Hyperlink">
    <w:name w:val="Hyperlink"/>
    <w:uiPriority w:val="99"/>
    <w:unhideWhenUsed/>
    <w:rsid w:val="00314B94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314B9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61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table" w:customStyle="1" w:styleId="TableGrid0">
    <w:name w:val="TableGrid"/>
    <w:rsid w:val="0026133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3B0611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9526C-51E8-49AC-BDC5-575E9BA9CC4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061e953-577f-44bc-90d4-dd6552c79708}" enabled="1" method="Privileged" siteId="{2f5e7ebc-22b0-4fbe-934c-aabddb4e29b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548</Words>
  <Characters>2841</Characters>
  <Application>Microsoft Office Word</Application>
  <DocSecurity>0</DocSecurity>
  <Lines>72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NCTCOG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Cassidy Campbell</dc:creator>
  <cp:keywords/>
  <cp:lastModifiedBy>Caralyn Dawson</cp:lastModifiedBy>
  <cp:revision>9</cp:revision>
  <cp:lastPrinted>2025-01-29T12:33:00Z</cp:lastPrinted>
  <dcterms:created xsi:type="dcterms:W3CDTF">2026-05-06T18:55:00Z</dcterms:created>
  <dcterms:modified xsi:type="dcterms:W3CDTF">2026-05-19T14:29:00Z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5813a60a5b8e17349817c79da78a3572871ac1af5923f65faeb1b141b0c45e63</vt:lpwstr>
  </property>
</Properties>
</file>